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0E91" w14:textId="75D3A02A" w:rsidR="00454324" w:rsidRPr="00754B7C" w:rsidRDefault="00754AFF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 w:rsidRPr="00754B7C">
        <w:rPr>
          <w:b/>
          <w:color w:val="000000" w:themeColor="text1"/>
          <w:lang w:val="en-GB"/>
        </w:rPr>
        <w:t xml:space="preserve">CALL </w:t>
      </w:r>
      <w:r w:rsidR="00454324" w:rsidRPr="00754B7C">
        <w:rPr>
          <w:b/>
          <w:color w:val="000000" w:themeColor="text1"/>
          <w:lang w:val="en-GB"/>
        </w:rPr>
        <w:t xml:space="preserve">for </w:t>
      </w:r>
      <w:r w:rsidR="00606E01" w:rsidRPr="00754B7C">
        <w:rPr>
          <w:b/>
          <w:color w:val="000000" w:themeColor="text1"/>
          <w:lang w:val="en-GB"/>
        </w:rPr>
        <w:t>APPLICATIONS</w:t>
      </w:r>
    </w:p>
    <w:p w14:paraId="093D8C19" w14:textId="52B45235" w:rsidR="008E4A24" w:rsidRPr="00754B7C" w:rsidRDefault="008E4A24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 w:rsidRPr="00754B7C">
        <w:rPr>
          <w:b/>
          <w:color w:val="000000" w:themeColor="text1"/>
          <w:lang w:val="en-GB"/>
        </w:rPr>
        <w:t xml:space="preserve">from </w:t>
      </w:r>
      <w:r w:rsidR="00606E01" w:rsidRPr="00754B7C">
        <w:rPr>
          <w:b/>
          <w:color w:val="000000" w:themeColor="text1"/>
          <w:lang w:val="en-GB"/>
        </w:rPr>
        <w:t xml:space="preserve">KOSOVO </w:t>
      </w:r>
      <w:r w:rsidRPr="00754B7C">
        <w:rPr>
          <w:b/>
          <w:color w:val="000000" w:themeColor="text1"/>
          <w:lang w:val="en-GB"/>
        </w:rPr>
        <w:t>LOCAL NON-GOVERNMENTAL ORGANISATIONS</w:t>
      </w:r>
    </w:p>
    <w:p w14:paraId="15121881" w14:textId="77777777" w:rsidR="009F261B" w:rsidRPr="00754B7C" w:rsidRDefault="009F261B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</w:p>
    <w:p w14:paraId="15C0EED4" w14:textId="521CEEF7" w:rsidR="00CF0428" w:rsidRPr="00754B7C" w:rsidRDefault="00272C78" w:rsidP="00F105FD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 w:rsidRPr="00754B7C">
        <w:rPr>
          <w:b/>
          <w:color w:val="000000" w:themeColor="text1"/>
          <w:lang w:val="en-GB"/>
        </w:rPr>
        <w:t>EVALUATION PROCESS OVERVIEW</w:t>
      </w:r>
    </w:p>
    <w:p w14:paraId="315D7DDB" w14:textId="77777777" w:rsidR="00754AFF" w:rsidRPr="00887EAC" w:rsidRDefault="00754AFF" w:rsidP="00F105FD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4F97B138" w14:textId="77777777" w:rsidR="00B4758E" w:rsidRPr="00887EAC" w:rsidRDefault="00B4758E" w:rsidP="00F105F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976A377" w14:textId="236CB5B8" w:rsidR="00460B1F" w:rsidRPr="00A715BE" w:rsidRDefault="00272C78" w:rsidP="00F105FD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>
        <w:rPr>
          <w:rFonts w:cstheme="minorHAnsi"/>
          <w:b/>
          <w:color w:val="000000" w:themeColor="text1"/>
          <w:sz w:val="20"/>
          <w:szCs w:val="20"/>
          <w:lang w:val="en-GB"/>
        </w:rPr>
        <w:t>GENERAL PRINCIPLES</w:t>
      </w:r>
    </w:p>
    <w:p w14:paraId="0ECD25F2" w14:textId="77777777" w:rsidR="00A60AE9" w:rsidRPr="00887EAC" w:rsidRDefault="00A60AE9" w:rsidP="00F105FD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7B32F714" w14:textId="4106A141" w:rsidR="00FA7F1F" w:rsidRDefault="00272C78" w:rsidP="00FA7F1F">
      <w:pPr>
        <w:tabs>
          <w:tab w:val="left" w:pos="567"/>
        </w:tabs>
        <w:spacing w:after="10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Applications will be 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evaluated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through a process consisting of the </w:t>
      </w:r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following 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stages</w:t>
      </w:r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,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described </w:t>
      </w:r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in detail 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below</w:t>
      </w:r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44"/>
        <w:gridCol w:w="3337"/>
      </w:tblGrid>
      <w:tr w:rsidR="00FA7F1F" w:rsidRPr="00FA7F1F" w14:paraId="1143B7FC" w14:textId="77777777" w:rsidTr="00FA7F1F">
        <w:tc>
          <w:tcPr>
            <w:tcW w:w="3085" w:type="dxa"/>
          </w:tcPr>
          <w:p w14:paraId="1178F200" w14:textId="2F2E567E" w:rsidR="00FA7F1F" w:rsidRPr="00FA7F1F" w:rsidRDefault="00FA7F1F" w:rsidP="00F105FD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A. Administrative Screening</w:t>
            </w:r>
          </w:p>
        </w:tc>
        <w:tc>
          <w:tcPr>
            <w:tcW w:w="3119" w:type="dxa"/>
          </w:tcPr>
          <w:p w14:paraId="67E8AAF6" w14:textId="149AC13D" w:rsidR="00FA7F1F" w:rsidRPr="00FA7F1F" w:rsidRDefault="00FA7F1F" w:rsidP="00FA7F1F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B. Project Proposal Evaluation</w:t>
            </w:r>
          </w:p>
        </w:tc>
        <w:tc>
          <w:tcPr>
            <w:tcW w:w="3416" w:type="dxa"/>
          </w:tcPr>
          <w:p w14:paraId="63F38BB6" w14:textId="1E30750D" w:rsidR="00FA7F1F" w:rsidRPr="00FA7F1F" w:rsidRDefault="00FA7F1F" w:rsidP="00FA7F1F">
            <w:pPr>
              <w:tabs>
                <w:tab w:val="left" w:pos="250"/>
              </w:tabs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C. Applicant Organisation Assessment</w:t>
            </w:r>
          </w:p>
        </w:tc>
      </w:tr>
    </w:tbl>
    <w:p w14:paraId="640B5028" w14:textId="77777777" w:rsidR="00754B7C" w:rsidRDefault="00754B7C" w:rsidP="001A2B8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10EF5A3" w14:textId="63127158" w:rsidR="00754B7C" w:rsidRDefault="00754B7C" w:rsidP="00754B7C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Upon submission, each application 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will receive a </w:t>
      </w:r>
      <w:r w:rsidRPr="00B6223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reference number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, which will be used throughout the evaluation process to identify the application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02FA3CC3" w14:textId="77777777" w:rsidR="00272C78" w:rsidRDefault="00272C78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74601D2" w14:textId="77777777" w:rsidR="00B62233" w:rsidRDefault="00B6223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51AB5C9" w14:textId="58A74E45" w:rsidR="00272C78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proofErr w:type="gramStart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proofErr w:type="gramEnd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272C78" w:rsidRPr="00C0130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Administrative Screening</w:t>
      </w:r>
    </w:p>
    <w:p w14:paraId="4467DCEA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65BB81A" w14:textId="6BB666D8" w:rsidR="00272C78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Administrative Screening will entail checking if</w:t>
      </w:r>
      <w:r w:rsidR="00EF6FE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3E29895F" w14:textId="77777777" w:rsidR="00C87634" w:rsidRPr="00EF6FE5" w:rsidRDefault="00C87634" w:rsidP="00C87634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The application was prepared in accordance with section 1.2 of the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Preparation and Submission Instructions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258C2491" w14:textId="07B02723" w:rsidR="00EF6FE5" w:rsidRPr="00EF6FE5" w:rsidRDefault="00355F6C" w:rsidP="00F76A45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application w</w:t>
      </w:r>
      <w:r w:rsidR="00EF6FE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as submitted in accordance with section </w:t>
      </w:r>
      <w:r w:rsidR="00AE6181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2</w:t>
      </w:r>
      <w:r w:rsidR="00EF6FE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of the </w:t>
      </w:r>
      <w:r w:rsidR="00EF6FE5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Preparation and Submission Instructions</w:t>
      </w:r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5E5A7AC2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D6D03C8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B09E8FF" w14:textId="5863E025" w:rsidR="00B62233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B62233" w:rsidRPr="00C0130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Project Proposal Evaluation</w:t>
      </w:r>
    </w:p>
    <w:p w14:paraId="502448CE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7CA3C5F" w14:textId="6D845E21" w:rsidR="0061382C" w:rsidRDefault="0061382C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evaluation of a project proposal will entail checking if</w:t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it</w:t>
      </w:r>
      <w:r w:rsidR="003C0B5F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 two components (Narrative</w:t>
      </w:r>
      <w:r w:rsidR="00923350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developed on the </w:t>
      </w:r>
      <w:r w:rsidR="00923350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Form</w:t>
      </w:r>
      <w:r w:rsidR="00923350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,</w:t>
      </w:r>
      <w:r w:rsidR="003C0B5F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and Budget) comply</w:t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with </w:t>
      </w:r>
      <w:r w:rsidR="000C3712" w:rsidRPr="007039B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all</w:t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the criteria</w:t>
      </w:r>
      <w:r w:rsidR="003C0B5F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listed under the respective component here below.</w:t>
      </w:r>
    </w:p>
    <w:p w14:paraId="749114F2" w14:textId="77777777" w:rsidR="002B7E54" w:rsidRDefault="002B7E54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FA98B8C" w14:textId="58CC6B24" w:rsidR="002B7E54" w:rsidRPr="002B7E54" w:rsidRDefault="002B7E54" w:rsidP="002B7E54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B.1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9233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Criteria for 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Narrative</w:t>
      </w:r>
      <w:r w:rsidR="009233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Component Evaluation</w:t>
      </w:r>
    </w:p>
    <w:p w14:paraId="0E9790BA" w14:textId="3520903F" w:rsidR="0061382C" w:rsidRDefault="0061382C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 is in line with the aim of this call for applications, which is to </w:t>
      </w:r>
      <w:r w:rsidRPr="002409B3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contribute to addressing the challenges faced by Roma, </w:t>
      </w:r>
      <w:proofErr w:type="spellStart"/>
      <w:r w:rsidRPr="002409B3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Ashkali</w:t>
      </w:r>
      <w:proofErr w:type="spellEnd"/>
      <w:r w:rsidRPr="002409B3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 and Egyptian girls, boys, women and men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100B9BAE" w14:textId="74E0896C" w:rsidR="001B0D7E" w:rsidRPr="001B0D7E" w:rsidRDefault="0061382C" w:rsidP="001B0D7E">
      <w:pPr>
        <w:pStyle w:val="ListParagraph"/>
        <w:numPr>
          <w:ilvl w:val="0"/>
          <w:numId w:val="4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 is developed in one or more of the following thematic areas:</w:t>
      </w:r>
      <w:r w:rsidR="001B0D7E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         </w:t>
      </w:r>
    </w:p>
    <w:tbl>
      <w:tblPr>
        <w:tblStyle w:val="PlainTable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4770"/>
      </w:tblGrid>
      <w:tr w:rsidR="008622E6" w14:paraId="2193B862" w14:textId="77777777" w:rsidTr="002C4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00"/>
          </w:tcPr>
          <w:p w14:paraId="3A894D34" w14:textId="1F813A25" w:rsidR="008622E6" w:rsidRPr="001B0D7E" w:rsidRDefault="008622E6" w:rsidP="008622E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Theme="majorHAnsi" w:hAnsiTheme="majorHAnsi"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1B0D7E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  <w:t>Education</w:t>
            </w:r>
          </w:p>
        </w:tc>
        <w:tc>
          <w:tcPr>
            <w:tcW w:w="2430" w:type="dxa"/>
            <w:shd w:val="clear" w:color="auto" w:fill="FFFF00"/>
          </w:tcPr>
          <w:p w14:paraId="40638621" w14:textId="68062760" w:rsidR="008622E6" w:rsidRPr="001B0D7E" w:rsidRDefault="008622E6" w:rsidP="008622E6">
            <w:pPr>
              <w:pStyle w:val="ListParagraph"/>
              <w:tabs>
                <w:tab w:val="left" w:pos="28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1B0D7E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  <w:t>Health</w:t>
            </w:r>
          </w:p>
        </w:tc>
        <w:tc>
          <w:tcPr>
            <w:tcW w:w="4770" w:type="dxa"/>
            <w:shd w:val="clear" w:color="auto" w:fill="FFFF00"/>
          </w:tcPr>
          <w:p w14:paraId="145F2824" w14:textId="191693D5" w:rsidR="008622E6" w:rsidRPr="001B0D7E" w:rsidRDefault="008622E6" w:rsidP="008622E6">
            <w:pPr>
              <w:pStyle w:val="ListParagraph"/>
              <w:tabs>
                <w:tab w:val="left" w:pos="28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1B0D7E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  <w:t>Human Rights protection</w:t>
            </w:r>
          </w:p>
        </w:tc>
      </w:tr>
    </w:tbl>
    <w:p w14:paraId="52366618" w14:textId="2E060BE4" w:rsidR="002409B3" w:rsidRDefault="002409B3" w:rsidP="002409B3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At least 70% of beneficiaries are members of </w:t>
      </w:r>
      <w:r w:rsidRPr="002409B3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Roma, </w:t>
      </w:r>
      <w:proofErr w:type="spellStart"/>
      <w:r w:rsidRPr="002409B3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Ashkali</w:t>
      </w:r>
      <w:proofErr w:type="spellEnd"/>
      <w:r w:rsidRPr="002409B3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 and/or Egyptian communities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3E7E1EFD" w14:textId="06CEE3B5" w:rsidR="0061382C" w:rsidRDefault="000C3712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</w:t>
      </w:r>
      <w:r w:rsidR="00524334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</w:t>
      </w:r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s </w:t>
      </w:r>
      <w:r w:rsidR="00524334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planned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to be implemented in </w:t>
      </w:r>
      <w:r w:rsidR="00486E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one or more locations in </w:t>
      </w:r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Kosovo</w:t>
      </w:r>
      <w:r w:rsidR="00BF55CA" w:rsidRPr="00BF55CA">
        <w:rPr>
          <w:rStyle w:val="FootnoteReference"/>
          <w:rFonts w:asciiTheme="majorHAnsi" w:hAnsiTheme="majorHAnsi" w:cstheme="minorHAnsi"/>
          <w:color w:val="000000" w:themeColor="text1"/>
          <w:szCs w:val="20"/>
          <w:lang w:val="en-GB"/>
        </w:rPr>
        <w:footnoteReference w:id="1"/>
      </w:r>
      <w:r w:rsidR="0061382C" w:rsidRPr="00BF55C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4A025B17" w14:textId="2128F950" w:rsidR="008776C7" w:rsidRDefault="008776C7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All of the planned activities can be implemented under limitations, imposed by Kosovo government in regard to CoVID-19, and all the recommendation of World Health Organisation can be respected in the process of implementation.</w:t>
      </w:r>
    </w:p>
    <w:p w14:paraId="388DD662" w14:textId="149A0E61" w:rsidR="0061382C" w:rsidRDefault="001B0CDC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 is clear, coherent, implementable,</w:t>
      </w:r>
      <w:r w:rsidR="00B961C8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practical</w:t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F8554AE" w14:textId="5C9E8CDD" w:rsidR="00B961C8" w:rsidRDefault="00D273B6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Its </w:t>
      </w:r>
      <w:r w:rsidR="00B961C8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outcomes are measurable through concrete indicators.</w:t>
      </w:r>
    </w:p>
    <w:p w14:paraId="3E183576" w14:textId="105EEF50" w:rsidR="00D273B6" w:rsidRDefault="00B961C8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Its </w:t>
      </w:r>
      <w:r w:rsidR="00D273B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expected impact is tangibly positive.</w:t>
      </w:r>
    </w:p>
    <w:p w14:paraId="6E180A6F" w14:textId="0C6A4C19" w:rsidR="000C3712" w:rsidRDefault="000C3712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 </w:t>
      </w:r>
      <w:r w:rsidRPr="009233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does not include any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of the following</w:t>
      </w:r>
      <w:r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2"/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45"/>
        <w:gridCol w:w="4175"/>
      </w:tblGrid>
      <w:tr w:rsidR="00FA7F1F" w14:paraId="17E678FA" w14:textId="77777777" w:rsidTr="00FA7F1F">
        <w:tc>
          <w:tcPr>
            <w:tcW w:w="5069" w:type="dxa"/>
            <w:shd w:val="clear" w:color="auto" w:fill="F2F2F2" w:themeFill="background1" w:themeFillShade="F2"/>
          </w:tcPr>
          <w:p w14:paraId="6861DDCF" w14:textId="353738BE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A4B2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lastRenderedPageBreak/>
              <w:t>Support to political parties, religious institutions or the military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267" w:type="dxa"/>
            <w:shd w:val="clear" w:color="auto" w:fill="F2F2F2" w:themeFill="background1" w:themeFillShade="F2"/>
          </w:tcPr>
          <w:p w14:paraId="0D873AC6" w14:textId="2288A3BF" w:rsidR="00FA7F1F" w:rsidRPr="00FA7F1F" w:rsidRDefault="00FA7F1F" w:rsidP="00FA7F1F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Discriminatory or anti-democratic initiatives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</w:tr>
    </w:tbl>
    <w:p w14:paraId="38440FC8" w14:textId="712C6F45" w:rsidR="000C3712" w:rsidRDefault="000C3712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 </w:t>
      </w:r>
      <w:r w:rsidRPr="009233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is not limited to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the following</w:t>
      </w:r>
      <w:r w:rsidR="00E90C83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3"/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A7F1F" w14:paraId="3090553B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64EC7C16" w14:textId="6EFE9E3E" w:rsidR="00FA7F1F" w:rsidRDefault="00FA7F1F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Paying salaries/wages/stipends/commissions/fees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F613DE5" w14:textId="390991C8" w:rsidR="00FA7F1F" w:rsidRDefault="00FA7F1F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Purchasing equipment or materials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</w:tr>
      <w:tr w:rsidR="00FA7F1F" w14:paraId="62022300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2C228683" w14:textId="3F2A76CE" w:rsidR="00FA7F1F" w:rsidRDefault="00FA7F1F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Conducting surveys, researches, assessments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8F0D68" w14:textId="5B1C8BCF" w:rsidR="00FA7F1F" w:rsidRDefault="00FA7F1F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Organising awareness-raising initiatives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</w:tr>
    </w:tbl>
    <w:p w14:paraId="1EA5357B" w14:textId="77777777" w:rsidR="00F76A45" w:rsidRDefault="00F76A45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4B1093D" w14:textId="0A2499BC" w:rsidR="00F76A45" w:rsidRPr="00F76A45" w:rsidRDefault="00F76A45" w:rsidP="00F76A45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9233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Criteria for 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Budget</w:t>
      </w:r>
      <w:r w:rsidR="009233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Component Evaluation</w:t>
      </w:r>
    </w:p>
    <w:p w14:paraId="2CC01C42" w14:textId="30D3ECF5" w:rsidR="00741978" w:rsidRPr="00741978" w:rsidRDefault="00741978" w:rsidP="00F76A45">
      <w:pPr>
        <w:pStyle w:val="ListParagraph"/>
        <w:numPr>
          <w:ilvl w:val="0"/>
          <w:numId w:val="13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887EAC">
        <w:rPr>
          <w:rFonts w:asciiTheme="majorHAnsi" w:hAnsiTheme="majorHAnsi"/>
          <w:sz w:val="20"/>
          <w:szCs w:val="20"/>
          <w:lang w:val="en-GB"/>
        </w:rPr>
        <w:t>The ratio between estimated costs and expected results</w:t>
      </w:r>
      <w:r>
        <w:rPr>
          <w:rFonts w:asciiTheme="majorHAnsi" w:hAnsiTheme="majorHAnsi"/>
          <w:sz w:val="20"/>
          <w:szCs w:val="20"/>
          <w:lang w:val="en-GB"/>
        </w:rPr>
        <w:t>/impact</w:t>
      </w:r>
      <w:r w:rsidRPr="00887EAC">
        <w:rPr>
          <w:rFonts w:asciiTheme="majorHAnsi" w:hAnsiTheme="majorHAnsi"/>
          <w:sz w:val="20"/>
          <w:szCs w:val="20"/>
          <w:lang w:val="en-GB"/>
        </w:rPr>
        <w:t xml:space="preserve"> is satisfactory</w:t>
      </w:r>
      <w:r w:rsidR="004D3241">
        <w:rPr>
          <w:rFonts w:asciiTheme="majorHAnsi" w:hAnsiTheme="majorHAnsi"/>
          <w:sz w:val="20"/>
          <w:szCs w:val="20"/>
          <w:lang w:val="en-GB"/>
        </w:rPr>
        <w:t>.</w:t>
      </w:r>
    </w:p>
    <w:p w14:paraId="3636157F" w14:textId="1C7D86F6" w:rsidR="00741978" w:rsidRDefault="00741978" w:rsidP="00FA7F1F">
      <w:pPr>
        <w:pStyle w:val="ListParagraph"/>
        <w:numPr>
          <w:ilvl w:val="0"/>
          <w:numId w:val="13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/>
          <w:sz w:val="20"/>
          <w:szCs w:val="20"/>
          <w:lang w:val="en-GB"/>
        </w:rPr>
      </w:pPr>
      <w:r w:rsidRPr="00887EAC">
        <w:rPr>
          <w:rFonts w:asciiTheme="majorHAnsi" w:hAnsiTheme="majorHAnsi"/>
          <w:sz w:val="20"/>
          <w:szCs w:val="20"/>
          <w:lang w:val="en-GB"/>
        </w:rPr>
        <w:t>N</w:t>
      </w:r>
      <w:r>
        <w:rPr>
          <w:rFonts w:asciiTheme="majorHAnsi" w:hAnsiTheme="majorHAnsi"/>
          <w:sz w:val="20"/>
          <w:szCs w:val="20"/>
          <w:lang w:val="en-GB"/>
        </w:rPr>
        <w:t>o</w:t>
      </w:r>
      <w:r w:rsidR="00486EB3">
        <w:rPr>
          <w:rFonts w:asciiTheme="majorHAnsi" w:hAnsiTheme="majorHAnsi"/>
          <w:sz w:val="20"/>
          <w:szCs w:val="20"/>
          <w:lang w:val="en-GB"/>
        </w:rPr>
        <w:t>ne of the following</w:t>
      </w:r>
      <w:r>
        <w:rPr>
          <w:rFonts w:asciiTheme="majorHAnsi" w:hAnsiTheme="majorHAnsi"/>
          <w:sz w:val="20"/>
          <w:szCs w:val="20"/>
          <w:lang w:val="en-GB"/>
        </w:rPr>
        <w:t xml:space="preserve"> ineligible costs are included</w:t>
      </w:r>
      <w:r w:rsidR="00486EB3">
        <w:rPr>
          <w:rFonts w:asciiTheme="majorHAnsi" w:hAnsiTheme="majorHAnsi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77"/>
      </w:tblGrid>
      <w:tr w:rsidR="00FA7F1F" w14:paraId="1EF3C586" w14:textId="77777777" w:rsidTr="00FA7F1F">
        <w:tc>
          <w:tcPr>
            <w:tcW w:w="4658" w:type="dxa"/>
            <w:tcBorders>
              <w:bottom w:val="single" w:sz="2" w:space="0" w:color="BFBFBF" w:themeColor="background1" w:themeShade="BF"/>
            </w:tcBorders>
          </w:tcPr>
          <w:p w14:paraId="153AE4CA" w14:textId="2570D98A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Costs directly budgeted for individua</w:t>
            </w:r>
            <w:r>
              <w:rPr>
                <w:rFonts w:asciiTheme="majorHAnsi" w:hAnsiTheme="majorHAnsi"/>
                <w:sz w:val="18"/>
                <w:lang w:val="en-GB"/>
              </w:rPr>
              <w:t>ls or individual beneficiaries;</w:t>
            </w:r>
          </w:p>
        </w:tc>
        <w:tc>
          <w:tcPr>
            <w:tcW w:w="4678" w:type="dxa"/>
            <w:tcBorders>
              <w:bottom w:val="single" w:sz="2" w:space="0" w:color="BFBFBF" w:themeColor="background1" w:themeShade="BF"/>
            </w:tcBorders>
          </w:tcPr>
          <w:p w14:paraId="0F67DF72" w14:textId="363A5847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Costs for study visits, scholarships</w:t>
            </w:r>
            <w:r>
              <w:rPr>
                <w:rFonts w:asciiTheme="majorHAnsi" w:hAnsiTheme="majorHAnsi"/>
                <w:sz w:val="18"/>
                <w:lang w:val="en-GB"/>
              </w:rPr>
              <w:t>, tuition fees and/or stipends;</w:t>
            </w:r>
          </w:p>
        </w:tc>
      </w:tr>
      <w:tr w:rsidR="00FA7F1F" w14:paraId="0CCFB5D2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8ED667F" w14:textId="77595A5B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Costs for constr</w:t>
            </w:r>
            <w:r>
              <w:rPr>
                <w:rFonts w:asciiTheme="majorHAnsi" w:hAnsiTheme="majorHAnsi"/>
                <w:sz w:val="18"/>
                <w:lang w:val="en-GB"/>
              </w:rPr>
              <w:t>uction or infrastructure works;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681CE30" w14:textId="33CC1F6C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Costs for projects outside of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Kosovo;</w:t>
            </w:r>
          </w:p>
        </w:tc>
      </w:tr>
      <w:tr w:rsidR="00FA7F1F" w14:paraId="06DB6463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77EFD7A" w14:textId="513F8169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B7E54">
              <w:rPr>
                <w:rFonts w:asciiTheme="majorHAnsi" w:hAnsiTheme="majorHAnsi"/>
                <w:sz w:val="18"/>
                <w:lang w:val="en-GB"/>
              </w:rPr>
              <w:t>Running costs of public institutions (including salaries)</w:t>
            </w:r>
            <w:r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DCEF008" w14:textId="696A5F59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Salaries/wages</w:t>
            </w:r>
            <w:r>
              <w:rPr>
                <w:rFonts w:asciiTheme="majorHAnsi" w:hAnsiTheme="majorHAnsi"/>
                <w:sz w:val="18"/>
                <w:lang w:val="en-GB"/>
              </w:rPr>
              <w:t>/fees of international experts;</w:t>
            </w:r>
          </w:p>
        </w:tc>
      </w:tr>
      <w:tr w:rsidR="00FA7F1F" w14:paraId="16095E99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A6D8A6" w14:textId="7C24DC61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Debts and d</w:t>
            </w:r>
            <w:r>
              <w:rPr>
                <w:rFonts w:asciiTheme="majorHAnsi" w:hAnsiTheme="majorHAnsi"/>
                <w:sz w:val="18"/>
                <w:lang w:val="en-GB"/>
              </w:rPr>
              <w:t>ebt service charges (interest);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0D21201" w14:textId="728CBF26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Provisions for losses o</w:t>
            </w:r>
            <w:r>
              <w:rPr>
                <w:rFonts w:asciiTheme="majorHAnsi" w:hAnsiTheme="majorHAnsi"/>
                <w:sz w:val="18"/>
                <w:lang w:val="en-GB"/>
              </w:rPr>
              <w:t>r potential future liabilities;</w:t>
            </w:r>
          </w:p>
        </w:tc>
      </w:tr>
      <w:tr w:rsidR="00FA7F1F" w14:paraId="136C74C2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07EC9D6" w14:textId="07DB0C9E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Items already financed from another donor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(including salaries);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B11C2D7" w14:textId="558D9394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Travel costs for private use, or for trips m</w:t>
            </w:r>
            <w:r>
              <w:rPr>
                <w:rFonts w:asciiTheme="majorHAnsi" w:hAnsiTheme="majorHAnsi"/>
                <w:sz w:val="18"/>
                <w:lang w:val="en-GB"/>
              </w:rPr>
              <w:t>ade in business or first class;</w:t>
            </w:r>
          </w:p>
        </w:tc>
      </w:tr>
      <w:tr w:rsidR="00FA7F1F" w14:paraId="178C8ECA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2C7F81D" w14:textId="1A2FCAC9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Currency exchange losses;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C864EE0" w14:textId="2E05FB62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Credits to third parties;</w:t>
            </w:r>
          </w:p>
        </w:tc>
      </w:tr>
      <w:tr w:rsidR="00FA7F1F" w14:paraId="6B962136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64EA3B1" w14:textId="33637A72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Purchases of land or buildings;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1EA7BA5" w14:textId="0E92B111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Tele</w:t>
            </w:r>
            <w:r>
              <w:rPr>
                <w:rFonts w:asciiTheme="majorHAnsi" w:hAnsiTheme="majorHAnsi"/>
                <w:sz w:val="18"/>
                <w:lang w:val="en-GB"/>
              </w:rPr>
              <w:t>phone expenses for private use;</w:t>
            </w:r>
          </w:p>
        </w:tc>
      </w:tr>
      <w:tr w:rsidR="00FA7F1F" w14:paraId="799A2E7B" w14:textId="77777777" w:rsidTr="00FA7F1F">
        <w:tc>
          <w:tcPr>
            <w:tcW w:w="9336" w:type="dxa"/>
            <w:gridSpan w:val="2"/>
            <w:tcBorders>
              <w:top w:val="single" w:sz="2" w:space="0" w:color="BFBFBF" w:themeColor="background1" w:themeShade="BF"/>
            </w:tcBorders>
          </w:tcPr>
          <w:p w14:paraId="7E1B5509" w14:textId="335BBD01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Extra allowances, such as sitting allowances, or equivalent in order to finance allowances for participating staff/invited speakers/participants of workshops.</w:t>
            </w:r>
          </w:p>
        </w:tc>
      </w:tr>
    </w:tbl>
    <w:p w14:paraId="3876876C" w14:textId="3285E1D0" w:rsidR="00741978" w:rsidRPr="00741978" w:rsidRDefault="00741978" w:rsidP="00F76A45">
      <w:pPr>
        <w:pStyle w:val="ListParagraph"/>
        <w:numPr>
          <w:ilvl w:val="0"/>
          <w:numId w:val="13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741978">
        <w:rPr>
          <w:rFonts w:asciiTheme="majorHAnsi" w:hAnsiTheme="majorHAnsi"/>
          <w:sz w:val="20"/>
          <w:szCs w:val="20"/>
          <w:lang w:val="en-GB"/>
        </w:rPr>
        <w:t xml:space="preserve">At least 60% is allocated to activities, and </w:t>
      </w:r>
      <w:r>
        <w:rPr>
          <w:rFonts w:asciiTheme="majorHAnsi" w:hAnsiTheme="majorHAnsi"/>
          <w:sz w:val="20"/>
          <w:szCs w:val="20"/>
          <w:lang w:val="en-GB"/>
        </w:rPr>
        <w:t>n</w:t>
      </w:r>
      <w:r w:rsidRPr="00741978">
        <w:rPr>
          <w:rFonts w:asciiTheme="majorHAnsi" w:hAnsiTheme="majorHAnsi"/>
          <w:sz w:val="20"/>
          <w:szCs w:val="20"/>
          <w:lang w:val="en-GB"/>
        </w:rPr>
        <w:t>o more than 40% is allocated to staff and running costs</w:t>
      </w:r>
      <w:r w:rsidR="004D3241">
        <w:rPr>
          <w:rFonts w:asciiTheme="majorHAnsi" w:hAnsiTheme="majorHAnsi"/>
          <w:sz w:val="20"/>
          <w:szCs w:val="20"/>
          <w:lang w:val="en-GB"/>
        </w:rPr>
        <w:t>.</w:t>
      </w:r>
    </w:p>
    <w:p w14:paraId="726DA64A" w14:textId="77777777" w:rsidR="00EF6FE5" w:rsidRDefault="00EF6FE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95564C8" w14:textId="77777777" w:rsidR="00463255" w:rsidRDefault="0046325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94C27" w14:textId="6C85B2D8" w:rsidR="00EF6FE5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EF6FE5" w:rsidRPr="00C0130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Applicant Organisation</w:t>
      </w:r>
      <w:r w:rsidR="0032360D" w:rsidRPr="00C0130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r w:rsidR="00A946EA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Assessment</w:t>
      </w:r>
    </w:p>
    <w:p w14:paraId="5E7A8FD6" w14:textId="77777777" w:rsidR="0032360D" w:rsidRDefault="0032360D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6075A11" w14:textId="4993E4C2" w:rsidR="0032360D" w:rsidRDefault="00A946EA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</w:t>
      </w:r>
      <w:r w:rsidR="0032360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tage 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C </w:t>
      </w:r>
      <w:r w:rsidR="0032360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will </w:t>
      </w:r>
      <w:r w:rsidR="00E75FC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entail</w:t>
      </w:r>
      <w:r w:rsidR="00AD553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reviewing additional information that will be requested by DRC </w:t>
      </w:r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as a second step, </w:t>
      </w:r>
      <w:r w:rsidR="00AD553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in order to establish that</w:t>
      </w:r>
      <w:r w:rsidR="00E75FC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6B94F8CA" w14:textId="75B9EA8D" w:rsidR="002409B3" w:rsidRDefault="00AD553A" w:rsidP="004B5C02">
      <w:pPr>
        <w:pStyle w:val="ListParagraph"/>
        <w:numPr>
          <w:ilvl w:val="0"/>
          <w:numId w:val="10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The applicant organisation </w:t>
      </w:r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and its legally authorised representative are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registered with the Ministry of Public Administration / Department for Registration and Liaison of NGOs</w:t>
      </w:r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FF2E87A" w14:textId="02AD3341" w:rsidR="00F449A6" w:rsidRPr="002409B3" w:rsidRDefault="002409B3" w:rsidP="004B5C02">
      <w:pPr>
        <w:pStyle w:val="ListParagraph"/>
        <w:numPr>
          <w:ilvl w:val="0"/>
          <w:numId w:val="10"/>
        </w:numPr>
        <w:tabs>
          <w:tab w:val="left" w:pos="284"/>
        </w:tabs>
        <w:spacing w:before="100"/>
        <w:ind w:left="284" w:hanging="284"/>
        <w:jc w:val="both"/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  <w:lang w:val="en-GB"/>
        </w:rPr>
      </w:pPr>
      <w:r w:rsidRP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applicant organisation is registered with the Tax Administration and has</w:t>
      </w:r>
      <w:r w:rsidR="00F449A6" w:rsidRP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C96F76" w:rsidRP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no</w:t>
      </w:r>
      <w:r w:rsidR="00F449A6" w:rsidRP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outstandi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ng obligations towards them</w:t>
      </w:r>
      <w:r w:rsidR="00F449A6" w:rsidRPr="002409B3">
        <w:rPr>
          <w:rStyle w:val="Hyperlink"/>
          <w:rFonts w:asciiTheme="majorHAnsi" w:hAnsiTheme="majorHAnsi" w:cstheme="minorHAnsi"/>
          <w:color w:val="auto"/>
          <w:sz w:val="20"/>
          <w:szCs w:val="20"/>
          <w:u w:val="none"/>
        </w:rPr>
        <w:t>.</w:t>
      </w:r>
    </w:p>
    <w:p w14:paraId="18D830B4" w14:textId="425DB125" w:rsidR="00F449A6" w:rsidRDefault="002409B3" w:rsidP="004669F0">
      <w:pPr>
        <w:pStyle w:val="ListParagraph"/>
        <w:numPr>
          <w:ilvl w:val="0"/>
          <w:numId w:val="10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C96F7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he applicant organisation and its legally authorised representative are no</w:t>
      </w:r>
      <w:r w:rsidR="002F0359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C96F7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listed on any of the following: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0"/>
      </w:tblGrid>
      <w:tr w:rsidR="00AC6A6A" w14:paraId="0ED31F65" w14:textId="77777777" w:rsidTr="004669F0"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0DA11AE8" w14:textId="12A18BA0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US Government System for Award Management</w:t>
            </w:r>
          </w:p>
        </w:tc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7891DCDE" w14:textId="0F223FB1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U.S. Treasury List of Specially Designated Nationals and Blocked Persons</w:t>
            </w:r>
          </w:p>
        </w:tc>
      </w:tr>
      <w:tr w:rsidR="00AC6A6A" w14:paraId="763D5464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4682B26" w14:textId="06AEBB87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Consolidated List of Sanctions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B4C3941" w14:textId="39018914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Consolidated List of Targets website</w:t>
            </w:r>
          </w:p>
        </w:tc>
      </w:tr>
      <w:tr w:rsidR="00AC6A6A" w14:paraId="5A4F8F5C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DB821B" w14:textId="127A8F67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Proscribed Terrorist Groups or Organizations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51B105C" w14:textId="3CE321A0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HM Treasury Designated </w:t>
            </w:r>
            <w:proofErr w:type="spellStart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Organisations</w:t>
            </w:r>
            <w:proofErr w:type="spellEnd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and Individuals</w:t>
            </w:r>
          </w:p>
        </w:tc>
      </w:tr>
      <w:tr w:rsidR="00AC6A6A" w14:paraId="24C94FF3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93B9284" w14:textId="04DBE6A9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 of Ineligible Firms &amp; Individuals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D70A07A" w14:textId="29A12045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StAR</w:t>
            </w:r>
            <w:proofErr w:type="spellEnd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Corruption Cases Search Centre</w:t>
            </w:r>
          </w:p>
        </w:tc>
      </w:tr>
      <w:tr w:rsidR="00AC6A6A" w14:paraId="1C7033B6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5A0CD8C5" w14:textId="2DE8EC69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UN Security Council - ISIL (Da'esh) &amp; Al-Qaida Sanctions List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39E4DFF3" w14:textId="3068EC87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United Nations Security Council Sanction List</w:t>
            </w:r>
          </w:p>
        </w:tc>
      </w:tr>
    </w:tbl>
    <w:p w14:paraId="1009EF9C" w14:textId="01AB09B6" w:rsidR="0032360D" w:rsidRDefault="002409B3" w:rsidP="004B5C02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D273B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he applicant organisation has the capacity to implement the proposed project in line with DRC and donor requirements</w:t>
      </w:r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4B9432EF" w14:textId="34C490ED" w:rsidR="00351CD6" w:rsidRDefault="002409B3" w:rsidP="004B5C02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he applicant organisation complies with additional legislation, specific to the activities they wish to implement (</w:t>
      </w:r>
      <w:proofErr w:type="gramStart"/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e.g.</w:t>
      </w:r>
      <w:proofErr w:type="gramEnd"/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in the case of educational support outside of the school system, with </w:t>
      </w:r>
      <w:r w:rsidR="00351CD6" w:rsidRPr="00213C4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Administrative Instruction 12/2017 on the </w:t>
      </w:r>
      <w:r w:rsidR="00351CD6" w:rsidRPr="00213C4B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Establishment and Functioning of Learning Centres</w:t>
      </w:r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).</w:t>
      </w:r>
    </w:p>
    <w:p w14:paraId="0618B012" w14:textId="1879FB1E" w:rsidR="006A36E1" w:rsidRPr="00FA4D5B" w:rsidRDefault="002409B3" w:rsidP="00FA4D5B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he applicant organisation has set up the cooperation and coordination framework with institutions and/or other stakeholders, which is necessary to the implementation of the proposed project.</w:t>
      </w:r>
    </w:p>
    <w:sectPr w:rsidR="006A36E1" w:rsidRPr="00FA4D5B" w:rsidSect="008E4121">
      <w:footerReference w:type="even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ED62" w14:textId="77777777" w:rsidR="00204DD7" w:rsidRDefault="00204DD7" w:rsidP="00462960">
      <w:pPr>
        <w:spacing w:after="0" w:line="240" w:lineRule="auto"/>
      </w:pPr>
      <w:r>
        <w:separator/>
      </w:r>
    </w:p>
  </w:endnote>
  <w:endnote w:type="continuationSeparator" w:id="0">
    <w:p w14:paraId="7321006A" w14:textId="77777777" w:rsidR="00204DD7" w:rsidRDefault="00204DD7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D6F" w14:textId="77777777" w:rsidR="00AD553A" w:rsidRDefault="00AD553A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AD553A" w:rsidRDefault="00AD553A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5AE2" w14:textId="1A7DC775" w:rsidR="00AD553A" w:rsidRPr="009F4F26" w:rsidRDefault="00AD553A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8776C7">
      <w:rPr>
        <w:rStyle w:val="PageNumber"/>
        <w:noProof/>
        <w:sz w:val="20"/>
      </w:rPr>
      <w:t>1</w:t>
    </w:r>
    <w:r w:rsidRPr="009F4F26">
      <w:rPr>
        <w:rStyle w:val="PageNumber"/>
        <w:sz w:val="20"/>
      </w:rPr>
      <w:fldChar w:fldCharType="end"/>
    </w:r>
  </w:p>
  <w:p w14:paraId="7AD18A02" w14:textId="77777777" w:rsidR="00AD553A" w:rsidRDefault="00AD553A" w:rsidP="009F4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C3B0" w14:textId="77777777" w:rsidR="00204DD7" w:rsidRDefault="00204DD7" w:rsidP="00462960">
      <w:pPr>
        <w:spacing w:after="0" w:line="240" w:lineRule="auto"/>
      </w:pPr>
      <w:r>
        <w:separator/>
      </w:r>
    </w:p>
  </w:footnote>
  <w:footnote w:type="continuationSeparator" w:id="0">
    <w:p w14:paraId="5A3FD640" w14:textId="77777777" w:rsidR="00204DD7" w:rsidRDefault="00204DD7" w:rsidP="00462960">
      <w:pPr>
        <w:spacing w:after="0" w:line="240" w:lineRule="auto"/>
      </w:pPr>
      <w:r>
        <w:continuationSeparator/>
      </w:r>
    </w:p>
  </w:footnote>
  <w:footnote w:id="1">
    <w:p w14:paraId="5E6F83D5" w14:textId="7126C085" w:rsidR="00BF55CA" w:rsidRPr="00BF55CA" w:rsidRDefault="00BF55CA" w:rsidP="00BF55CA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</w:rPr>
      </w:pPr>
      <w:r w:rsidRPr="00BF55CA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8"/>
          <w:lang w:val="en-GB"/>
        </w:rPr>
        <w:t>N</w:t>
      </w:r>
      <w:r w:rsidRPr="00BF55CA">
        <w:rPr>
          <w:rFonts w:asciiTheme="majorHAnsi" w:hAnsiTheme="majorHAnsi"/>
          <w:sz w:val="18"/>
          <w:lang w:val="en-GB"/>
        </w:rPr>
        <w:t>ote that activities targeting South Mitrovicë/a are the subject of a separate cal</w:t>
      </w:r>
      <w:r>
        <w:rPr>
          <w:rFonts w:asciiTheme="majorHAnsi" w:hAnsiTheme="majorHAnsi"/>
          <w:sz w:val="18"/>
          <w:lang w:val="en-GB"/>
        </w:rPr>
        <w:t>l for applications and will not be considered eligible.</w:t>
      </w:r>
    </w:p>
  </w:footnote>
  <w:footnote w:id="2">
    <w:p w14:paraId="64F60CFB" w14:textId="55CBCAF8" w:rsidR="00AD553A" w:rsidRPr="000C3712" w:rsidRDefault="00AD553A" w:rsidP="000C3712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0C3712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8"/>
        </w:rPr>
        <w:t xml:space="preserve">The presence of </w:t>
      </w:r>
      <w:r w:rsidRPr="00E90C83">
        <w:rPr>
          <w:rFonts w:asciiTheme="majorHAnsi" w:hAnsiTheme="majorHAnsi"/>
          <w:b/>
          <w:sz w:val="18"/>
        </w:rPr>
        <w:t>any</w:t>
      </w:r>
      <w:r>
        <w:rPr>
          <w:rFonts w:asciiTheme="majorHAnsi" w:hAnsiTheme="majorHAnsi"/>
          <w:sz w:val="18"/>
        </w:rPr>
        <w:t xml:space="preserve"> of the items on this list will exclude the project proposal from the possibility to be funded.</w:t>
      </w:r>
    </w:p>
  </w:footnote>
  <w:footnote w:id="3">
    <w:p w14:paraId="69A19D03" w14:textId="5E6042C6" w:rsidR="00AD553A" w:rsidRPr="00E90C83" w:rsidRDefault="00AD553A" w:rsidP="00E90C83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E90C83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8"/>
        </w:rPr>
        <w:t xml:space="preserve">Project proposals may include items on this list, but they cannot be limited to them.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766D"/>
    <w:multiLevelType w:val="hybridMultilevel"/>
    <w:tmpl w:val="9A6A550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857"/>
    <w:multiLevelType w:val="hybridMultilevel"/>
    <w:tmpl w:val="776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5" w15:restartNumberingAfterBreak="0">
    <w:nsid w:val="3EA6360A"/>
    <w:multiLevelType w:val="hybridMultilevel"/>
    <w:tmpl w:val="CA4EA76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6F2D"/>
    <w:multiLevelType w:val="hybridMultilevel"/>
    <w:tmpl w:val="DE8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1B00"/>
    <w:multiLevelType w:val="hybridMultilevel"/>
    <w:tmpl w:val="E558FF30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5519E"/>
    <w:multiLevelType w:val="hybridMultilevel"/>
    <w:tmpl w:val="ADE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2182"/>
    <w:multiLevelType w:val="hybridMultilevel"/>
    <w:tmpl w:val="6B74B5D4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EE0248"/>
    <w:multiLevelType w:val="hybridMultilevel"/>
    <w:tmpl w:val="621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F0E9B"/>
    <w:multiLevelType w:val="hybridMultilevel"/>
    <w:tmpl w:val="1B9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24"/>
    <w:rsid w:val="000028BA"/>
    <w:rsid w:val="00006ED8"/>
    <w:rsid w:val="00012C40"/>
    <w:rsid w:val="00014222"/>
    <w:rsid w:val="0003477D"/>
    <w:rsid w:val="0003631C"/>
    <w:rsid w:val="0004337B"/>
    <w:rsid w:val="00047E52"/>
    <w:rsid w:val="00052DED"/>
    <w:rsid w:val="0006201A"/>
    <w:rsid w:val="00070A62"/>
    <w:rsid w:val="0008473E"/>
    <w:rsid w:val="000907B1"/>
    <w:rsid w:val="000935E3"/>
    <w:rsid w:val="000A2D81"/>
    <w:rsid w:val="000B0E16"/>
    <w:rsid w:val="000B6061"/>
    <w:rsid w:val="000C3712"/>
    <w:rsid w:val="000D379B"/>
    <w:rsid w:val="000D6365"/>
    <w:rsid w:val="000E3ED0"/>
    <w:rsid w:val="000F3CB8"/>
    <w:rsid w:val="000F50B2"/>
    <w:rsid w:val="000F6DFA"/>
    <w:rsid w:val="00105279"/>
    <w:rsid w:val="001105A8"/>
    <w:rsid w:val="0011664B"/>
    <w:rsid w:val="00116730"/>
    <w:rsid w:val="001261F9"/>
    <w:rsid w:val="00131E4F"/>
    <w:rsid w:val="00144D58"/>
    <w:rsid w:val="00151E75"/>
    <w:rsid w:val="00155D29"/>
    <w:rsid w:val="00164EDD"/>
    <w:rsid w:val="001706FD"/>
    <w:rsid w:val="00175EA3"/>
    <w:rsid w:val="001820F1"/>
    <w:rsid w:val="001872AF"/>
    <w:rsid w:val="001A2B8F"/>
    <w:rsid w:val="001A55DB"/>
    <w:rsid w:val="001A5E61"/>
    <w:rsid w:val="001B095D"/>
    <w:rsid w:val="001B0CDC"/>
    <w:rsid w:val="001B0D7E"/>
    <w:rsid w:val="001B3535"/>
    <w:rsid w:val="001B487D"/>
    <w:rsid w:val="001B4F9E"/>
    <w:rsid w:val="001B7B45"/>
    <w:rsid w:val="001C144B"/>
    <w:rsid w:val="001C413A"/>
    <w:rsid w:val="001C558B"/>
    <w:rsid w:val="001C6FBB"/>
    <w:rsid w:val="001D095E"/>
    <w:rsid w:val="001D0C8F"/>
    <w:rsid w:val="001E3DF4"/>
    <w:rsid w:val="001E7B23"/>
    <w:rsid w:val="00202F74"/>
    <w:rsid w:val="00204DD7"/>
    <w:rsid w:val="00213C4B"/>
    <w:rsid w:val="00224746"/>
    <w:rsid w:val="00225F51"/>
    <w:rsid w:val="0023402B"/>
    <w:rsid w:val="00236317"/>
    <w:rsid w:val="002409B3"/>
    <w:rsid w:val="00241A55"/>
    <w:rsid w:val="002426B3"/>
    <w:rsid w:val="00246F52"/>
    <w:rsid w:val="00247CB4"/>
    <w:rsid w:val="002722F1"/>
    <w:rsid w:val="00272389"/>
    <w:rsid w:val="00272C78"/>
    <w:rsid w:val="00272D22"/>
    <w:rsid w:val="00282C74"/>
    <w:rsid w:val="002948AD"/>
    <w:rsid w:val="0029708E"/>
    <w:rsid w:val="0029778C"/>
    <w:rsid w:val="002A0308"/>
    <w:rsid w:val="002A50AD"/>
    <w:rsid w:val="002B7E54"/>
    <w:rsid w:val="002C2B22"/>
    <w:rsid w:val="002D729E"/>
    <w:rsid w:val="002E0A28"/>
    <w:rsid w:val="002E4D48"/>
    <w:rsid w:val="002E7481"/>
    <w:rsid w:val="002F0359"/>
    <w:rsid w:val="002F38D7"/>
    <w:rsid w:val="003000B0"/>
    <w:rsid w:val="00306213"/>
    <w:rsid w:val="0030688F"/>
    <w:rsid w:val="003101F1"/>
    <w:rsid w:val="0031223B"/>
    <w:rsid w:val="003146E4"/>
    <w:rsid w:val="0032360D"/>
    <w:rsid w:val="0032776A"/>
    <w:rsid w:val="003327BB"/>
    <w:rsid w:val="00334581"/>
    <w:rsid w:val="00335AC5"/>
    <w:rsid w:val="003417C2"/>
    <w:rsid w:val="00346CBB"/>
    <w:rsid w:val="00351CD6"/>
    <w:rsid w:val="00355F6C"/>
    <w:rsid w:val="00371DF9"/>
    <w:rsid w:val="00375FC2"/>
    <w:rsid w:val="00382AEA"/>
    <w:rsid w:val="00383C66"/>
    <w:rsid w:val="00390630"/>
    <w:rsid w:val="003949FA"/>
    <w:rsid w:val="0039616B"/>
    <w:rsid w:val="003A04CD"/>
    <w:rsid w:val="003B33D0"/>
    <w:rsid w:val="003B6C76"/>
    <w:rsid w:val="003B7FBF"/>
    <w:rsid w:val="003C0B5F"/>
    <w:rsid w:val="003E483E"/>
    <w:rsid w:val="003E4958"/>
    <w:rsid w:val="003F32D2"/>
    <w:rsid w:val="003F7C2C"/>
    <w:rsid w:val="00413A47"/>
    <w:rsid w:val="004309FA"/>
    <w:rsid w:val="0043134F"/>
    <w:rsid w:val="00436EA2"/>
    <w:rsid w:val="00446383"/>
    <w:rsid w:val="00452350"/>
    <w:rsid w:val="00454324"/>
    <w:rsid w:val="00457431"/>
    <w:rsid w:val="00460B1F"/>
    <w:rsid w:val="00462960"/>
    <w:rsid w:val="00463255"/>
    <w:rsid w:val="004669F0"/>
    <w:rsid w:val="0047759C"/>
    <w:rsid w:val="00477C77"/>
    <w:rsid w:val="00482A7A"/>
    <w:rsid w:val="00486A17"/>
    <w:rsid w:val="00486EB3"/>
    <w:rsid w:val="00497441"/>
    <w:rsid w:val="004A4CC8"/>
    <w:rsid w:val="004B178D"/>
    <w:rsid w:val="004B5C02"/>
    <w:rsid w:val="004C603E"/>
    <w:rsid w:val="004D3241"/>
    <w:rsid w:val="004F18EC"/>
    <w:rsid w:val="00503D4B"/>
    <w:rsid w:val="0051421F"/>
    <w:rsid w:val="00514FA1"/>
    <w:rsid w:val="00516945"/>
    <w:rsid w:val="00517AD1"/>
    <w:rsid w:val="00517C68"/>
    <w:rsid w:val="00524334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B1861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3992"/>
    <w:rsid w:val="00606E01"/>
    <w:rsid w:val="00612CE5"/>
    <w:rsid w:val="0061382C"/>
    <w:rsid w:val="00613D10"/>
    <w:rsid w:val="00616121"/>
    <w:rsid w:val="00635EF2"/>
    <w:rsid w:val="006400C3"/>
    <w:rsid w:val="00640D04"/>
    <w:rsid w:val="00643A9C"/>
    <w:rsid w:val="006473AD"/>
    <w:rsid w:val="00654EDD"/>
    <w:rsid w:val="00663AA6"/>
    <w:rsid w:val="006711B4"/>
    <w:rsid w:val="006732E1"/>
    <w:rsid w:val="00677ABE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0383"/>
    <w:rsid w:val="006D3EF7"/>
    <w:rsid w:val="006E32F3"/>
    <w:rsid w:val="006F067E"/>
    <w:rsid w:val="006F08DB"/>
    <w:rsid w:val="006F6293"/>
    <w:rsid w:val="007039B0"/>
    <w:rsid w:val="007160FA"/>
    <w:rsid w:val="0072402D"/>
    <w:rsid w:val="00724317"/>
    <w:rsid w:val="00727ABF"/>
    <w:rsid w:val="00735760"/>
    <w:rsid w:val="00741978"/>
    <w:rsid w:val="007420F1"/>
    <w:rsid w:val="00744D35"/>
    <w:rsid w:val="007517B3"/>
    <w:rsid w:val="00751AFA"/>
    <w:rsid w:val="00754AFF"/>
    <w:rsid w:val="00754B7C"/>
    <w:rsid w:val="00763CE1"/>
    <w:rsid w:val="00767B18"/>
    <w:rsid w:val="00770EAE"/>
    <w:rsid w:val="00771016"/>
    <w:rsid w:val="00777137"/>
    <w:rsid w:val="00783120"/>
    <w:rsid w:val="00790A5C"/>
    <w:rsid w:val="007A039D"/>
    <w:rsid w:val="007C6AEA"/>
    <w:rsid w:val="007D4ADE"/>
    <w:rsid w:val="00805367"/>
    <w:rsid w:val="00813FA8"/>
    <w:rsid w:val="008142D0"/>
    <w:rsid w:val="00814CB0"/>
    <w:rsid w:val="00817F82"/>
    <w:rsid w:val="00826CA9"/>
    <w:rsid w:val="00847E6C"/>
    <w:rsid w:val="00850432"/>
    <w:rsid w:val="00853037"/>
    <w:rsid w:val="008622E6"/>
    <w:rsid w:val="00866DE5"/>
    <w:rsid w:val="008776C7"/>
    <w:rsid w:val="00881084"/>
    <w:rsid w:val="00887EAC"/>
    <w:rsid w:val="008939B3"/>
    <w:rsid w:val="008B6AF2"/>
    <w:rsid w:val="008C61C5"/>
    <w:rsid w:val="008D2000"/>
    <w:rsid w:val="008E07C3"/>
    <w:rsid w:val="008E4121"/>
    <w:rsid w:val="008E4A24"/>
    <w:rsid w:val="008F332E"/>
    <w:rsid w:val="008F3435"/>
    <w:rsid w:val="008F35A1"/>
    <w:rsid w:val="00900419"/>
    <w:rsid w:val="00900A0B"/>
    <w:rsid w:val="0090287E"/>
    <w:rsid w:val="00907C5C"/>
    <w:rsid w:val="009122AE"/>
    <w:rsid w:val="009171F3"/>
    <w:rsid w:val="00923350"/>
    <w:rsid w:val="00932C7F"/>
    <w:rsid w:val="009352E1"/>
    <w:rsid w:val="0094166E"/>
    <w:rsid w:val="00941942"/>
    <w:rsid w:val="0095304F"/>
    <w:rsid w:val="00960A16"/>
    <w:rsid w:val="00961FF7"/>
    <w:rsid w:val="00971C2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C7C25"/>
    <w:rsid w:val="009D2BDF"/>
    <w:rsid w:val="009E065B"/>
    <w:rsid w:val="009F14C5"/>
    <w:rsid w:val="009F261B"/>
    <w:rsid w:val="009F3866"/>
    <w:rsid w:val="009F4F26"/>
    <w:rsid w:val="00A0535A"/>
    <w:rsid w:val="00A126C3"/>
    <w:rsid w:val="00A15CDC"/>
    <w:rsid w:val="00A166F3"/>
    <w:rsid w:val="00A177AF"/>
    <w:rsid w:val="00A22E97"/>
    <w:rsid w:val="00A4172E"/>
    <w:rsid w:val="00A41D18"/>
    <w:rsid w:val="00A52884"/>
    <w:rsid w:val="00A60AE9"/>
    <w:rsid w:val="00A715BE"/>
    <w:rsid w:val="00A74152"/>
    <w:rsid w:val="00A74601"/>
    <w:rsid w:val="00A75793"/>
    <w:rsid w:val="00A84E90"/>
    <w:rsid w:val="00A946EA"/>
    <w:rsid w:val="00A95EFE"/>
    <w:rsid w:val="00AB58CC"/>
    <w:rsid w:val="00AC6A6A"/>
    <w:rsid w:val="00AC7BAB"/>
    <w:rsid w:val="00AD553A"/>
    <w:rsid w:val="00AE20B2"/>
    <w:rsid w:val="00AE6181"/>
    <w:rsid w:val="00AE74BD"/>
    <w:rsid w:val="00AF38EB"/>
    <w:rsid w:val="00AF7C62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2233"/>
    <w:rsid w:val="00B6576B"/>
    <w:rsid w:val="00B81651"/>
    <w:rsid w:val="00B82511"/>
    <w:rsid w:val="00B85499"/>
    <w:rsid w:val="00B961C8"/>
    <w:rsid w:val="00BA400F"/>
    <w:rsid w:val="00BA4B24"/>
    <w:rsid w:val="00BD0E19"/>
    <w:rsid w:val="00BD40A8"/>
    <w:rsid w:val="00BE23B1"/>
    <w:rsid w:val="00BE7F36"/>
    <w:rsid w:val="00BF3F76"/>
    <w:rsid w:val="00BF55CA"/>
    <w:rsid w:val="00C01302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87634"/>
    <w:rsid w:val="00C968A7"/>
    <w:rsid w:val="00C96F76"/>
    <w:rsid w:val="00CB0250"/>
    <w:rsid w:val="00CC0A28"/>
    <w:rsid w:val="00CD19C5"/>
    <w:rsid w:val="00CD29F1"/>
    <w:rsid w:val="00CF0428"/>
    <w:rsid w:val="00CF2428"/>
    <w:rsid w:val="00CF6D0B"/>
    <w:rsid w:val="00D0391C"/>
    <w:rsid w:val="00D03E60"/>
    <w:rsid w:val="00D102EE"/>
    <w:rsid w:val="00D14938"/>
    <w:rsid w:val="00D17273"/>
    <w:rsid w:val="00D26A64"/>
    <w:rsid w:val="00D273B6"/>
    <w:rsid w:val="00D3469A"/>
    <w:rsid w:val="00D34EC1"/>
    <w:rsid w:val="00D425D8"/>
    <w:rsid w:val="00D50559"/>
    <w:rsid w:val="00D5107A"/>
    <w:rsid w:val="00D5189C"/>
    <w:rsid w:val="00D61382"/>
    <w:rsid w:val="00D66E18"/>
    <w:rsid w:val="00D878C4"/>
    <w:rsid w:val="00DA26A0"/>
    <w:rsid w:val="00DA3E87"/>
    <w:rsid w:val="00DA5C82"/>
    <w:rsid w:val="00DB1C60"/>
    <w:rsid w:val="00DC5313"/>
    <w:rsid w:val="00DC55CB"/>
    <w:rsid w:val="00DC5B24"/>
    <w:rsid w:val="00DD01CD"/>
    <w:rsid w:val="00DD0374"/>
    <w:rsid w:val="00DD2B39"/>
    <w:rsid w:val="00E00499"/>
    <w:rsid w:val="00E00D1F"/>
    <w:rsid w:val="00E02471"/>
    <w:rsid w:val="00E03178"/>
    <w:rsid w:val="00E0708D"/>
    <w:rsid w:val="00E1791C"/>
    <w:rsid w:val="00E22DD5"/>
    <w:rsid w:val="00E4148A"/>
    <w:rsid w:val="00E50BFC"/>
    <w:rsid w:val="00E52F08"/>
    <w:rsid w:val="00E63E81"/>
    <w:rsid w:val="00E64DE4"/>
    <w:rsid w:val="00E75FCD"/>
    <w:rsid w:val="00E82C12"/>
    <w:rsid w:val="00E90C83"/>
    <w:rsid w:val="00E934E6"/>
    <w:rsid w:val="00E9737B"/>
    <w:rsid w:val="00EA78AD"/>
    <w:rsid w:val="00EC75DF"/>
    <w:rsid w:val="00ED19E5"/>
    <w:rsid w:val="00EF348F"/>
    <w:rsid w:val="00EF64F2"/>
    <w:rsid w:val="00EF6FE5"/>
    <w:rsid w:val="00F038DF"/>
    <w:rsid w:val="00F105FD"/>
    <w:rsid w:val="00F107BB"/>
    <w:rsid w:val="00F309A1"/>
    <w:rsid w:val="00F31D75"/>
    <w:rsid w:val="00F31DDE"/>
    <w:rsid w:val="00F32478"/>
    <w:rsid w:val="00F336A8"/>
    <w:rsid w:val="00F34FC6"/>
    <w:rsid w:val="00F36578"/>
    <w:rsid w:val="00F405F5"/>
    <w:rsid w:val="00F449A6"/>
    <w:rsid w:val="00F50C1B"/>
    <w:rsid w:val="00F510E7"/>
    <w:rsid w:val="00F57FB4"/>
    <w:rsid w:val="00F60CB7"/>
    <w:rsid w:val="00F6175C"/>
    <w:rsid w:val="00F61C5A"/>
    <w:rsid w:val="00F643DF"/>
    <w:rsid w:val="00F67C54"/>
    <w:rsid w:val="00F76A45"/>
    <w:rsid w:val="00F81F93"/>
    <w:rsid w:val="00F9322C"/>
    <w:rsid w:val="00FA14A9"/>
    <w:rsid w:val="00FA1AD2"/>
    <w:rsid w:val="00FA4D5B"/>
    <w:rsid w:val="00FA7F1F"/>
    <w:rsid w:val="00FB3892"/>
    <w:rsid w:val="00FB7EAA"/>
    <w:rsid w:val="00FC3193"/>
    <w:rsid w:val="00FD6FF5"/>
    <w:rsid w:val="00FE1542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46118"/>
  <w15:docId w15:val="{C6C5E661-862B-411D-A961-327238D5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99"/>
    <w:rsid w:val="001B0D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A788F-D44A-4746-BB78-1D22C50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Burim Nebihu</cp:lastModifiedBy>
  <cp:revision>2</cp:revision>
  <dcterms:created xsi:type="dcterms:W3CDTF">2021-03-01T09:18:00Z</dcterms:created>
  <dcterms:modified xsi:type="dcterms:W3CDTF">2021-03-01T09:18:00Z</dcterms:modified>
</cp:coreProperties>
</file>