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2CDE" w14:textId="77777777" w:rsidR="00DB5135" w:rsidRPr="003B3015" w:rsidRDefault="00DB5135" w:rsidP="003B3015">
      <w:pPr>
        <w:spacing w:after="0" w:line="240" w:lineRule="auto"/>
        <w:ind w:left="10" w:right="60" w:hanging="10"/>
        <w:jc w:val="center"/>
        <w:rPr>
          <w:b/>
          <w:bCs/>
          <w:color w:val="000000" w:themeColor="text1"/>
          <w:lang w:val="en-GB"/>
        </w:rPr>
      </w:pPr>
      <w:r w:rsidRPr="003B3015">
        <w:rPr>
          <w:b/>
          <w:bCs/>
          <w:color w:val="000000" w:themeColor="text1"/>
          <w:lang w:val="en-GB"/>
        </w:rPr>
        <w:t>THIRRJE PËR APLIKIM</w:t>
      </w:r>
    </w:p>
    <w:p w14:paraId="60672BDF" w14:textId="77777777" w:rsidR="00DB5135" w:rsidRPr="003B3015" w:rsidRDefault="00DB5135" w:rsidP="003B3015">
      <w:pPr>
        <w:spacing w:after="0" w:line="240" w:lineRule="auto"/>
        <w:ind w:left="10" w:right="60" w:hanging="10"/>
        <w:jc w:val="center"/>
        <w:rPr>
          <w:b/>
          <w:bCs/>
          <w:color w:val="000000" w:themeColor="text1"/>
          <w:lang w:val="en-GB"/>
        </w:rPr>
      </w:pPr>
      <w:proofErr w:type="spellStart"/>
      <w:r w:rsidRPr="003B3015">
        <w:rPr>
          <w:b/>
          <w:bCs/>
          <w:color w:val="000000" w:themeColor="text1"/>
          <w:lang w:val="en-GB"/>
        </w:rPr>
        <w:t>nga</w:t>
      </w:r>
      <w:proofErr w:type="spellEnd"/>
      <w:r w:rsidRPr="003B3015">
        <w:rPr>
          <w:b/>
          <w:bCs/>
          <w:color w:val="000000" w:themeColor="text1"/>
          <w:lang w:val="en-GB"/>
        </w:rPr>
        <w:t xml:space="preserve"> ORGANIZATAT LOKALE JO-QEVERITARE </w:t>
      </w:r>
      <w:proofErr w:type="spellStart"/>
      <w:r w:rsidRPr="003B3015">
        <w:rPr>
          <w:b/>
          <w:bCs/>
          <w:color w:val="000000" w:themeColor="text1"/>
          <w:lang w:val="en-GB"/>
        </w:rPr>
        <w:t>në</w:t>
      </w:r>
      <w:proofErr w:type="spellEnd"/>
      <w:r w:rsidRPr="003B3015">
        <w:rPr>
          <w:b/>
          <w:bCs/>
          <w:color w:val="000000" w:themeColor="text1"/>
          <w:lang w:val="en-GB"/>
        </w:rPr>
        <w:t xml:space="preserve"> KOSOVË</w:t>
      </w:r>
    </w:p>
    <w:p w14:paraId="15121881" w14:textId="77777777" w:rsidR="009F261B" w:rsidRPr="00754B7C" w:rsidRDefault="009F261B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</w:p>
    <w:p w14:paraId="496C7886" w14:textId="77777777" w:rsidR="00DB5135" w:rsidRDefault="00DB5135" w:rsidP="00DB5135">
      <w:pPr>
        <w:pStyle w:val="NormalWeb"/>
        <w:pBdr>
          <w:top w:val="single" w:sz="6" w:space="1" w:color="BFBFBF"/>
          <w:bottom w:val="single" w:sz="6" w:space="1" w:color="BFBFBF"/>
        </w:pBdr>
        <w:spacing w:before="0" w:beforeAutospacing="0" w:after="0" w:afterAutospacing="0"/>
        <w:ind w:right="60" w:hanging="10"/>
        <w:jc w:val="center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b/>
          <w:bCs/>
          <w:color w:val="000000"/>
          <w:sz w:val="22"/>
          <w:szCs w:val="22"/>
        </w:rPr>
        <w:t>PËRMBLEDHJE E PROCESIT TË VLERËSIMIT</w:t>
      </w:r>
    </w:p>
    <w:p w14:paraId="315D7DDB" w14:textId="77777777" w:rsidR="00754AFF" w:rsidRPr="00887EAC" w:rsidRDefault="00754AFF" w:rsidP="00F105FD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4F97B138" w14:textId="77777777" w:rsidR="00B4758E" w:rsidRPr="00887EAC" w:rsidRDefault="00B4758E" w:rsidP="00F105F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D29ADF2" w14:textId="77777777" w:rsidR="00DB5135" w:rsidRDefault="00DB5135" w:rsidP="00DB5135">
      <w:pPr>
        <w:pStyle w:val="NormalWeb"/>
        <w:shd w:val="clear" w:color="auto" w:fill="D9D9D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b/>
          <w:bCs/>
          <w:color w:val="000000"/>
          <w:sz w:val="20"/>
          <w:szCs w:val="20"/>
        </w:rPr>
        <w:t>PARIMET E PËRGJITHSHME</w:t>
      </w:r>
    </w:p>
    <w:p w14:paraId="0ECD25F2" w14:textId="77777777" w:rsidR="00A60AE9" w:rsidRPr="00887EAC" w:rsidRDefault="00A60AE9" w:rsidP="00F105FD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7440CE10" w14:textId="77777777" w:rsidR="00DB5135" w:rsidRPr="005B6221" w:rsidRDefault="00DB5135" w:rsidP="00DB5135">
      <w:pPr>
        <w:pStyle w:val="NormalWeb"/>
        <w:spacing w:before="0" w:beforeAutospacing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Aplikimet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vlerësohen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përmes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procesi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përbëhet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fazat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e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mëposhtme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përshkruara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detaje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poshtë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119"/>
        <w:gridCol w:w="3416"/>
      </w:tblGrid>
      <w:tr w:rsidR="00DB5135" w:rsidRPr="005B6221" w14:paraId="4CAF567F" w14:textId="77777777" w:rsidTr="0076089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2FCC" w14:textId="77777777" w:rsidR="00DB5135" w:rsidRPr="005B6221" w:rsidRDefault="00DB5135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Shqyrtimi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administrativ</w:t>
            </w:r>
            <w:proofErr w:type="spellEnd"/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AC35" w14:textId="77777777" w:rsidR="00DB5135" w:rsidRPr="005B6221" w:rsidRDefault="00DB5135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B.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Vlerësimi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Projekt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Propozimit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733EA" w14:textId="77777777" w:rsidR="00DB5135" w:rsidRPr="005B6221" w:rsidRDefault="00DB5135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Vlerësimi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Organizatës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Aplikuese</w:t>
            </w:r>
            <w:proofErr w:type="spellEnd"/>
          </w:p>
        </w:tc>
      </w:tr>
    </w:tbl>
    <w:p w14:paraId="7D9632B4" w14:textId="77777777" w:rsidR="00DB5135" w:rsidRPr="005B6221" w:rsidRDefault="00DB5135" w:rsidP="00DB51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B6221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6242B2A" w14:textId="77777777" w:rsidR="00DB5135" w:rsidRDefault="00DB5135" w:rsidP="00DB51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Pas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dorëzimit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çdo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aplikim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do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marrë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numër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referimi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, i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cili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përdoret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gjatë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gjithë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procesit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vlerësimit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identifikimin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aplikacionit</w:t>
      </w:r>
      <w:proofErr w:type="spellEnd"/>
      <w:r>
        <w:rPr>
          <w:rStyle w:val="notranslate"/>
          <w:rFonts w:ascii="Calibri" w:hAnsi="Calibri" w:cs="Calibri"/>
          <w:color w:val="000000"/>
          <w:sz w:val="20"/>
          <w:szCs w:val="20"/>
        </w:rPr>
        <w:t>.</w:t>
      </w:r>
    </w:p>
    <w:p w14:paraId="374601D2" w14:textId="77777777" w:rsidR="00B62233" w:rsidRDefault="00B6223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B518347" w14:textId="77777777" w:rsidR="00FB2903" w:rsidRDefault="00FB290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51AB5C9" w14:textId="0E52B172" w:rsidR="00272C78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97598D">
        <w:rPr>
          <w:rStyle w:val="notranslate"/>
          <w:b/>
          <w:bCs/>
          <w:sz w:val="20"/>
          <w:szCs w:val="20"/>
        </w:rPr>
        <w:t>Shqyrtimi</w:t>
      </w:r>
      <w:proofErr w:type="spellEnd"/>
      <w:r w:rsidR="0097598D">
        <w:rPr>
          <w:rStyle w:val="notranslate"/>
          <w:b/>
          <w:bCs/>
          <w:sz w:val="20"/>
          <w:szCs w:val="20"/>
        </w:rPr>
        <w:t xml:space="preserve"> </w:t>
      </w:r>
      <w:proofErr w:type="spellStart"/>
      <w:r w:rsidR="0097598D">
        <w:rPr>
          <w:rStyle w:val="notranslate"/>
          <w:b/>
          <w:bCs/>
          <w:sz w:val="20"/>
          <w:szCs w:val="20"/>
        </w:rPr>
        <w:t>A</w:t>
      </w:r>
      <w:r w:rsidR="00DB5135">
        <w:rPr>
          <w:rStyle w:val="notranslate"/>
          <w:b/>
          <w:bCs/>
          <w:sz w:val="20"/>
          <w:szCs w:val="20"/>
        </w:rPr>
        <w:t>dministrativ</w:t>
      </w:r>
      <w:proofErr w:type="spellEnd"/>
    </w:p>
    <w:p w14:paraId="4467DCEA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3C1F2FC" w14:textId="77777777" w:rsidR="00DB5135" w:rsidRPr="005B6221" w:rsidRDefault="00DB5135" w:rsidP="00DB51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Shqyrtimi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Administrativ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parasheh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kontrollin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nëse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:</w:t>
      </w:r>
    </w:p>
    <w:p w14:paraId="329389B6" w14:textId="4877B80C" w:rsidR="00DB5135" w:rsidRPr="005B6221" w:rsidRDefault="00DB5135" w:rsidP="00FB290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</w:t>
      </w:r>
      <w:r w:rsidR="00081222">
        <w:rPr>
          <w:rStyle w:val="notranslate"/>
          <w:rFonts w:asciiTheme="majorHAnsi" w:hAnsiTheme="majorHAnsi" w:cstheme="majorHAnsi"/>
          <w:sz w:val="20"/>
          <w:szCs w:val="20"/>
        </w:rPr>
        <w:t>acioni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u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përgatit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nenin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1.2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Udhëzimeve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Përgatitjen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Dorëzimin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e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Aplikacionit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2D6D03C8" w14:textId="33DC85EB" w:rsidR="00B62233" w:rsidRPr="0094394B" w:rsidRDefault="00DB5135" w:rsidP="00E43EB6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70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Aplikacioni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paraqitet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nenin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2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Udhëzimeve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Përgatitjen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Dorëzimin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e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Aplikacionit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01263262" w14:textId="77777777" w:rsidR="00FB2903" w:rsidRDefault="00FB290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B09E8FF" w14:textId="1C2DF5C7" w:rsidR="00B62233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DB5135">
        <w:rPr>
          <w:rStyle w:val="notranslate"/>
          <w:b/>
          <w:bCs/>
          <w:sz w:val="20"/>
          <w:szCs w:val="20"/>
        </w:rPr>
        <w:t>Vlerësimi</w:t>
      </w:r>
      <w:proofErr w:type="spellEnd"/>
      <w:r w:rsidR="00DB5135">
        <w:rPr>
          <w:rStyle w:val="notranslate"/>
          <w:b/>
          <w:bCs/>
          <w:sz w:val="20"/>
          <w:szCs w:val="20"/>
        </w:rPr>
        <w:t xml:space="preserve"> i </w:t>
      </w:r>
      <w:proofErr w:type="spellStart"/>
      <w:r w:rsidR="00DB5135">
        <w:rPr>
          <w:rStyle w:val="notranslate"/>
          <w:b/>
          <w:bCs/>
          <w:sz w:val="20"/>
          <w:szCs w:val="20"/>
        </w:rPr>
        <w:t>Propozimit</w:t>
      </w:r>
      <w:proofErr w:type="spellEnd"/>
      <w:r w:rsidR="00DB5135">
        <w:rPr>
          <w:rStyle w:val="notranslate"/>
          <w:b/>
          <w:bCs/>
          <w:sz w:val="20"/>
          <w:szCs w:val="20"/>
        </w:rPr>
        <w:t xml:space="preserve"> </w:t>
      </w:r>
      <w:proofErr w:type="spellStart"/>
      <w:r w:rsidR="00DB5135">
        <w:rPr>
          <w:rStyle w:val="notranslate"/>
          <w:b/>
          <w:bCs/>
          <w:sz w:val="20"/>
          <w:szCs w:val="20"/>
        </w:rPr>
        <w:t>të</w:t>
      </w:r>
      <w:proofErr w:type="spellEnd"/>
      <w:r w:rsidR="00DB5135">
        <w:rPr>
          <w:rStyle w:val="notranslate"/>
          <w:b/>
          <w:bCs/>
          <w:sz w:val="20"/>
          <w:szCs w:val="20"/>
        </w:rPr>
        <w:t xml:space="preserve"> </w:t>
      </w:r>
      <w:proofErr w:type="spellStart"/>
      <w:r w:rsidR="00DB5135">
        <w:rPr>
          <w:rStyle w:val="notranslate"/>
          <w:b/>
          <w:bCs/>
          <w:sz w:val="20"/>
          <w:szCs w:val="20"/>
        </w:rPr>
        <w:t>Projektit</w:t>
      </w:r>
      <w:proofErr w:type="spellEnd"/>
    </w:p>
    <w:p w14:paraId="502448CE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540C6" w14:textId="5C80E4A7" w:rsidR="00DB5135" w:rsidRPr="00DB5135" w:rsidRDefault="00DB5135" w:rsidP="00DB5135">
      <w:pPr>
        <w:pStyle w:val="NormalWeb"/>
        <w:spacing w:before="0" w:beforeAutospacing="0" w:after="0" w:afterAutospacing="0"/>
        <w:jc w:val="both"/>
        <w:rPr>
          <w:rStyle w:val="notranslate"/>
          <w:rFonts w:asciiTheme="majorHAnsi" w:hAnsiTheme="majorHAnsi" w:cstheme="majorHAnsi"/>
          <w:sz w:val="20"/>
          <w:szCs w:val="20"/>
        </w:rPr>
      </w:pP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Vlerësimi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propozimit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projektit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parasheh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nëse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dy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komponentet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Narrativi</w:t>
      </w:r>
      <w:proofErr w:type="spellEnd"/>
      <w:r w:rsidRPr="001A774B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,</w:t>
      </w:r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r w:rsidRPr="004662FE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i</w:t>
      </w:r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zhvilluar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Formularin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e 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Aplikimit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, 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Buxhetit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janë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përputhje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me </w:t>
      </w:r>
      <w:proofErr w:type="spellStart"/>
      <w:r w:rsidRPr="00E43EB6">
        <w:rPr>
          <w:rStyle w:val="notranslate"/>
          <w:rFonts w:asciiTheme="majorHAnsi" w:hAnsiTheme="majorHAnsi" w:cstheme="majorHAnsi"/>
          <w:b/>
          <w:bCs/>
          <w:color w:val="000000"/>
          <w:sz w:val="20"/>
          <w:szCs w:val="20"/>
        </w:rPr>
        <w:t>të</w:t>
      </w:r>
      <w:proofErr w:type="spellEnd"/>
      <w:r w:rsidR="0094394B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E43EB6">
        <w:rPr>
          <w:rStyle w:val="notranslate"/>
          <w:rFonts w:asciiTheme="majorHAnsi" w:hAnsiTheme="majorHAnsi" w:cstheme="majorHAnsi"/>
          <w:b/>
          <w:bCs/>
          <w:color w:val="000000"/>
          <w:sz w:val="20"/>
          <w:szCs w:val="20"/>
        </w:rPr>
        <w:t>gjitha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kriteret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e</w:t>
      </w:r>
      <w:r w:rsidR="00081222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listuara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nën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komponentin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përkatës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poshtë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.</w:t>
      </w:r>
    </w:p>
    <w:p w14:paraId="749114F2" w14:textId="77777777" w:rsidR="002B7E54" w:rsidRDefault="002B7E54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FA98B8C" w14:textId="4A2FFDE4" w:rsidR="002B7E54" w:rsidRPr="002B7E54" w:rsidRDefault="002B7E54" w:rsidP="002B7E54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B.1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Kriteret</w:t>
      </w:r>
      <w:proofErr w:type="spellEnd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për</w:t>
      </w:r>
      <w:proofErr w:type="spellEnd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 </w:t>
      </w:r>
      <w:proofErr w:type="spellStart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Vlerësimin</w:t>
      </w:r>
      <w:proofErr w:type="spellEnd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 xml:space="preserve"> e </w:t>
      </w:r>
      <w:proofErr w:type="spellStart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Komponentëve</w:t>
      </w:r>
      <w:proofErr w:type="spellEnd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 Narrative</w:t>
      </w:r>
    </w:p>
    <w:p w14:paraId="6123898B" w14:textId="77777777" w:rsidR="00DB5135" w:rsidRPr="005B6221" w:rsidRDefault="00DB5135" w:rsidP="00FB2903">
      <w:pPr>
        <w:numPr>
          <w:ilvl w:val="0"/>
          <w:numId w:val="16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qëllimin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kësaj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thirrjeje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aplikime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kontribuar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adresimin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sfidave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cilat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ballafaqohen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vajzat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rome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ashkalike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egjiptiane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djemtë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gratë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burrat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2B60950E" w14:textId="77777777" w:rsidR="00DB5135" w:rsidRPr="005B6221" w:rsidRDefault="00DB5135" w:rsidP="00FB2903">
      <w:pPr>
        <w:numPr>
          <w:ilvl w:val="0"/>
          <w:numId w:val="16"/>
        </w:numPr>
        <w:tabs>
          <w:tab w:val="clear" w:pos="720"/>
          <w:tab w:val="num" w:pos="426"/>
        </w:tabs>
        <w:spacing w:before="100" w:after="6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zhvilluar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shumë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nga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fushat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tematike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mëposhtme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:</w:t>
      </w: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118"/>
        <w:gridCol w:w="2127"/>
        <w:gridCol w:w="2126"/>
      </w:tblGrid>
      <w:tr w:rsidR="00FB2903" w:rsidRPr="005B6221" w14:paraId="588F7F98" w14:textId="77777777" w:rsidTr="00FB2903">
        <w:trPr>
          <w:trHeight w:val="253"/>
        </w:trPr>
        <w:tc>
          <w:tcPr>
            <w:tcW w:w="155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01B8" w14:textId="77777777" w:rsidR="00DB5135" w:rsidRPr="005B6221" w:rsidRDefault="00DB5135" w:rsidP="00FB2903">
            <w:pPr>
              <w:pStyle w:val="NormalWeb"/>
              <w:tabs>
                <w:tab w:val="num" w:pos="426"/>
              </w:tabs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Barazi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gjinore</w:t>
            </w:r>
            <w:proofErr w:type="spellEnd"/>
          </w:p>
        </w:tc>
        <w:tc>
          <w:tcPr>
            <w:tcW w:w="31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BC32" w14:textId="77777777" w:rsidR="00DB5135" w:rsidRPr="005B6221" w:rsidRDefault="00DB5135" w:rsidP="00FB2903">
            <w:pPr>
              <w:pStyle w:val="NormalWeb"/>
              <w:tabs>
                <w:tab w:val="num" w:pos="426"/>
              </w:tabs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Mbrojtjen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drejtave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njeriut</w:t>
            </w:r>
            <w:proofErr w:type="spellEnd"/>
          </w:p>
        </w:tc>
        <w:tc>
          <w:tcPr>
            <w:tcW w:w="212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A786" w14:textId="5B7A73FC" w:rsidR="00DB5135" w:rsidRPr="005B6221" w:rsidRDefault="00DB5135" w:rsidP="00FB2903">
            <w:pPr>
              <w:pStyle w:val="NormalWeb"/>
              <w:tabs>
                <w:tab w:val="num" w:pos="426"/>
              </w:tabs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Mbrojtjen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mjedisit</w:t>
            </w:r>
            <w:proofErr w:type="spellEnd"/>
          </w:p>
        </w:tc>
        <w:tc>
          <w:tcPr>
            <w:tcW w:w="21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A5F5" w14:textId="77777777" w:rsidR="00DB5135" w:rsidRPr="005B6221" w:rsidRDefault="00DB5135" w:rsidP="00FB2903">
            <w:pPr>
              <w:pStyle w:val="NormalWeb"/>
              <w:tabs>
                <w:tab w:val="num" w:pos="426"/>
              </w:tabs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Promovimin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kulturor</w:t>
            </w:r>
            <w:proofErr w:type="spellEnd"/>
          </w:p>
        </w:tc>
      </w:tr>
    </w:tbl>
    <w:p w14:paraId="141ED106" w14:textId="16863E7E" w:rsidR="00DB5135" w:rsidRPr="005B6221" w:rsidRDefault="00DB5135" w:rsidP="00FB2903">
      <w:pPr>
        <w:numPr>
          <w:ilvl w:val="0"/>
          <w:numId w:val="17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paktën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70%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përfituesve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anëtarë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komuniteteve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rom,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ashkali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/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ose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egjiptian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7D458EBF" w14:textId="4DCD8E6F" w:rsidR="00DB5135" w:rsidRDefault="00DB5135" w:rsidP="00FB2903">
      <w:pPr>
        <w:numPr>
          <w:ilvl w:val="0"/>
          <w:numId w:val="17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Style w:val="notranslate"/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planifikuar</w:t>
      </w:r>
      <w:proofErr w:type="spellEnd"/>
      <w:r w:rsidRPr="005B6221">
        <w:rPr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zbatohet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shumë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lokacione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Kosovë</w:t>
      </w:r>
      <w:proofErr w:type="spellEnd"/>
      <w:r w:rsidR="00AA468D" w:rsidRPr="00FB2903">
        <w:rPr>
          <w:rStyle w:val="FootnoteReference"/>
          <w:rFonts w:asciiTheme="majorHAnsi" w:hAnsiTheme="majorHAnsi" w:cstheme="majorHAnsi"/>
          <w:szCs w:val="20"/>
        </w:rPr>
        <w:footnoteReference w:id="1"/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61DE233F" w14:textId="1E49D4A7" w:rsidR="00AE11C7" w:rsidRPr="005B6221" w:rsidRDefault="00AE11C7" w:rsidP="00FB2903">
      <w:pPr>
        <w:numPr>
          <w:ilvl w:val="0"/>
          <w:numId w:val="17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AE11C7">
        <w:rPr>
          <w:rFonts w:asciiTheme="majorHAnsi" w:hAnsiTheme="majorHAnsi" w:cstheme="majorHAnsi"/>
          <w:sz w:val="20"/>
          <w:szCs w:val="20"/>
        </w:rPr>
        <w:t>Të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gjitha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aktivitetet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planifikuara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mund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të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zbatohen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nën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kufizime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të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vendosura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nga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qeveria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Kosovës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në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lidhje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me CoVID-19,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dhe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gjithë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rekomandimi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Organizatës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Botërore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të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Shëndetësisë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mund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të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respektohet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gjatë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procesit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të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zbatimit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>.</w:t>
      </w:r>
    </w:p>
    <w:p w14:paraId="70821EBC" w14:textId="77777777" w:rsidR="00DB5135" w:rsidRPr="005B6221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qartë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kuptueshme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zbatueshme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,</w:t>
      </w:r>
      <w:r w:rsidRPr="005B6221">
        <w:rPr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praktike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4AE1FB1F" w14:textId="77777777" w:rsidR="00DB5135" w:rsidRPr="005B6221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Rezultatet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matshme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nëpërmjet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treguesve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konkretë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3D84C76F" w14:textId="77777777" w:rsidR="00FB2903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Ndikimi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pritshëm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pozitivisht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prekshëm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6E180A6F" w14:textId="29E3D2C7" w:rsidR="000C3712" w:rsidRPr="00FB2903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60" w:line="240" w:lineRule="auto"/>
        <w:ind w:left="431" w:hanging="272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Nuk</w:t>
      </w:r>
      <w:proofErr w:type="spellEnd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përfshin</w:t>
      </w:r>
      <w:proofErr w:type="spellEnd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ndonjë</w:t>
      </w:r>
      <w:proofErr w:type="spellEnd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>nga</w:t>
      </w:r>
      <w:proofErr w:type="spellEnd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>mëposhtmet</w:t>
      </w:r>
      <w:proofErr w:type="spellEnd"/>
      <w:r w:rsidR="000C3712"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2"/>
      </w:r>
      <w:r w:rsidR="000C3712" w:rsidRPr="00FB290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69"/>
        <w:gridCol w:w="4267"/>
      </w:tblGrid>
      <w:tr w:rsidR="00DB5135" w14:paraId="17E678FA" w14:textId="77777777" w:rsidTr="00FA7F1F">
        <w:tc>
          <w:tcPr>
            <w:tcW w:w="5069" w:type="dxa"/>
            <w:shd w:val="clear" w:color="auto" w:fill="F2F2F2" w:themeFill="background1" w:themeFillShade="F2"/>
          </w:tcPr>
          <w:p w14:paraId="6861DDCF" w14:textId="5EFA51DF" w:rsidR="00DB5135" w:rsidRDefault="00DB5135" w:rsidP="00DB5135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lastRenderedPageBreak/>
              <w:t>Mbështetje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për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partitë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politike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institucionet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fetare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ose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ushtrinë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4267" w:type="dxa"/>
            <w:shd w:val="clear" w:color="auto" w:fill="F2F2F2" w:themeFill="background1" w:themeFillShade="F2"/>
          </w:tcPr>
          <w:p w14:paraId="0D873AC6" w14:textId="4423BD04" w:rsidR="00DB5135" w:rsidRPr="00FA7F1F" w:rsidRDefault="00DB5135" w:rsidP="00DB5135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r>
              <w:rPr>
                <w:rStyle w:val="notranslate"/>
                <w:sz w:val="18"/>
                <w:szCs w:val="18"/>
              </w:rPr>
              <w:t xml:space="preserve">Iniciativa </w:t>
            </w:r>
            <w:proofErr w:type="spellStart"/>
            <w:r>
              <w:rPr>
                <w:rStyle w:val="notranslate"/>
                <w:sz w:val="18"/>
                <w:szCs w:val="18"/>
              </w:rPr>
              <w:t>diskriminuese</w:t>
            </w:r>
            <w:proofErr w:type="spellEnd"/>
            <w:r>
              <w:rPr>
                <w:rStyle w:val="notranslate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sz w:val="18"/>
                <w:szCs w:val="18"/>
              </w:rPr>
              <w:t>ose</w:t>
            </w:r>
            <w:proofErr w:type="spellEnd"/>
            <w:r>
              <w:rPr>
                <w:rStyle w:val="notranslate"/>
                <w:sz w:val="18"/>
                <w:szCs w:val="18"/>
              </w:rPr>
              <w:t xml:space="preserve"> anti-</w:t>
            </w:r>
            <w:proofErr w:type="spellStart"/>
            <w:r>
              <w:rPr>
                <w:rStyle w:val="notranslate"/>
                <w:sz w:val="18"/>
                <w:szCs w:val="18"/>
              </w:rPr>
              <w:t>demokratike</w:t>
            </w:r>
            <w:proofErr w:type="spellEnd"/>
            <w:r>
              <w:rPr>
                <w:rStyle w:val="notranslate"/>
                <w:sz w:val="18"/>
                <w:szCs w:val="18"/>
              </w:rPr>
              <w:t>.</w:t>
            </w:r>
          </w:p>
        </w:tc>
      </w:tr>
    </w:tbl>
    <w:p w14:paraId="38440FC8" w14:textId="08B4A4E3" w:rsidR="000C3712" w:rsidRDefault="00DB5135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Nuk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kufizohet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vetëm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  <w:u w:val="single"/>
        </w:rPr>
        <w:t xml:space="preserve"> me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vijon</w:t>
      </w:r>
      <w:proofErr w:type="spellEnd"/>
      <w:r w:rsidR="00FB2903">
        <w:rPr>
          <w:rStyle w:val="FootnoteReference"/>
          <w:rFonts w:cstheme="majorHAnsi"/>
          <w:szCs w:val="20"/>
        </w:rPr>
        <w:footnoteReference w:id="3"/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A7F1F" w14:paraId="3090553B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64EC7C16" w14:textId="6C8A3B5E" w:rsidR="00FA7F1F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456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Pagimi</w:t>
            </w:r>
            <w:proofErr w:type="spellEnd"/>
            <w:r w:rsidRPr="00A456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A45603">
              <w:rPr>
                <w:rStyle w:val="notranslate"/>
                <w:rFonts w:cstheme="majorHAnsi"/>
                <w:sz w:val="18"/>
                <w:szCs w:val="18"/>
              </w:rPr>
              <w:t>pagave</w:t>
            </w:r>
            <w:proofErr w:type="spellEnd"/>
            <w:r w:rsidRPr="00A456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meditjeve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bursave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komisioneve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tarifave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F613DE5" w14:textId="10F42CDF" w:rsidR="00FA7F1F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Blerja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pahjisjeve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ose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material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eve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</w:tr>
      <w:tr w:rsidR="00FA7F1F" w14:paraId="62022300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2C228683" w14:textId="4449BFA5" w:rsidR="00FA7F1F" w:rsidRPr="00FB2903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Kryerja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anketimeve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hulumtimeve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vlerësimeve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8F0D68" w14:textId="0E5C3826" w:rsidR="00FA7F1F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Organizimi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nismave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ngritjen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vetëdijësimit</w:t>
            </w:r>
            <w:proofErr w:type="spellEnd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1EA5357B" w14:textId="77777777" w:rsidR="00F76A45" w:rsidRDefault="00F76A45" w:rsidP="00F76A4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4B1093D" w14:textId="2771587A" w:rsidR="00F76A45" w:rsidRPr="00F76A45" w:rsidRDefault="00F76A45" w:rsidP="00F76A45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A45603">
        <w:rPr>
          <w:rStyle w:val="notranslate"/>
          <w:b/>
          <w:bCs/>
          <w:sz w:val="20"/>
          <w:szCs w:val="20"/>
        </w:rPr>
        <w:t>Kriteret</w:t>
      </w:r>
      <w:proofErr w:type="spellEnd"/>
      <w:r w:rsidR="00A45603">
        <w:rPr>
          <w:rStyle w:val="notranslate"/>
          <w:b/>
          <w:bCs/>
          <w:sz w:val="20"/>
          <w:szCs w:val="20"/>
        </w:rPr>
        <w:t xml:space="preserve"> </w:t>
      </w:r>
      <w:proofErr w:type="spellStart"/>
      <w:r w:rsidR="00A45603">
        <w:rPr>
          <w:rStyle w:val="notranslate"/>
          <w:b/>
          <w:bCs/>
          <w:sz w:val="20"/>
          <w:szCs w:val="20"/>
        </w:rPr>
        <w:t>për</w:t>
      </w:r>
      <w:proofErr w:type="spellEnd"/>
      <w:r w:rsidR="00A45603">
        <w:rPr>
          <w:rStyle w:val="notranslate"/>
          <w:sz w:val="27"/>
          <w:szCs w:val="27"/>
        </w:rPr>
        <w:t> </w:t>
      </w:r>
      <w:proofErr w:type="spellStart"/>
      <w:r w:rsidR="00A45603">
        <w:rPr>
          <w:rStyle w:val="notranslate"/>
          <w:b/>
          <w:bCs/>
          <w:sz w:val="20"/>
          <w:szCs w:val="20"/>
        </w:rPr>
        <w:t>vlerësimin</w:t>
      </w:r>
      <w:proofErr w:type="spellEnd"/>
      <w:r w:rsidR="00A45603">
        <w:rPr>
          <w:rStyle w:val="notranslate"/>
          <w:b/>
          <w:bCs/>
          <w:sz w:val="20"/>
          <w:szCs w:val="20"/>
        </w:rPr>
        <w:t xml:space="preserve"> e </w:t>
      </w:r>
      <w:proofErr w:type="spellStart"/>
      <w:r w:rsidR="00A45603">
        <w:rPr>
          <w:rStyle w:val="notranslate"/>
          <w:b/>
          <w:bCs/>
          <w:sz w:val="20"/>
          <w:szCs w:val="20"/>
        </w:rPr>
        <w:t>komponentëve</w:t>
      </w:r>
      <w:proofErr w:type="spellEnd"/>
      <w:r w:rsidR="00A45603">
        <w:rPr>
          <w:rStyle w:val="notranslate"/>
          <w:b/>
          <w:bCs/>
          <w:sz w:val="20"/>
          <w:szCs w:val="20"/>
        </w:rPr>
        <w:t xml:space="preserve"> </w:t>
      </w:r>
      <w:proofErr w:type="spellStart"/>
      <w:r w:rsidR="00A45603">
        <w:rPr>
          <w:rStyle w:val="notranslate"/>
          <w:b/>
          <w:bCs/>
          <w:sz w:val="20"/>
          <w:szCs w:val="20"/>
        </w:rPr>
        <w:t>të</w:t>
      </w:r>
      <w:proofErr w:type="spellEnd"/>
      <w:r w:rsidR="00A45603">
        <w:rPr>
          <w:rStyle w:val="notranslate"/>
          <w:sz w:val="27"/>
          <w:szCs w:val="27"/>
        </w:rPr>
        <w:t> </w:t>
      </w:r>
      <w:proofErr w:type="spellStart"/>
      <w:r w:rsidR="00A45603">
        <w:rPr>
          <w:rStyle w:val="notranslate"/>
          <w:b/>
          <w:bCs/>
          <w:sz w:val="20"/>
          <w:szCs w:val="20"/>
        </w:rPr>
        <w:t>buxhetit</w:t>
      </w:r>
      <w:proofErr w:type="spellEnd"/>
    </w:p>
    <w:p w14:paraId="10761624" w14:textId="25D93F12" w:rsidR="00A45603" w:rsidRPr="005B6221" w:rsidRDefault="00A45603" w:rsidP="00FB2903">
      <w:pPr>
        <w:numPr>
          <w:ilvl w:val="0"/>
          <w:numId w:val="19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Raporti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midis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kosto</w:t>
      </w:r>
      <w:r w:rsidR="00FB2903">
        <w:rPr>
          <w:rStyle w:val="notranslate"/>
          <w:rFonts w:asciiTheme="majorHAnsi" w:hAnsiTheme="majorHAnsi" w:cstheme="majorHAnsi"/>
          <w:sz w:val="20"/>
          <w:szCs w:val="20"/>
        </w:rPr>
        <w:t>ve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vlerësuara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rezultateve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/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ndikime</w:t>
      </w:r>
      <w:r w:rsidR="00FB2903">
        <w:rPr>
          <w:rStyle w:val="notranslate"/>
          <w:rFonts w:asciiTheme="majorHAnsi" w:hAnsiTheme="majorHAnsi" w:cstheme="majorHAnsi"/>
          <w:sz w:val="20"/>
          <w:szCs w:val="20"/>
        </w:rPr>
        <w:t>ve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pritura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kënaqshëm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1D3C2BFC" w14:textId="77777777" w:rsidR="00A45603" w:rsidRPr="005B6221" w:rsidRDefault="00A45603" w:rsidP="00FB2903">
      <w:pPr>
        <w:numPr>
          <w:ilvl w:val="0"/>
          <w:numId w:val="19"/>
        </w:numPr>
        <w:tabs>
          <w:tab w:val="clear" w:pos="720"/>
          <w:tab w:val="num" w:pos="426"/>
        </w:tabs>
        <w:spacing w:before="100" w:after="6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Nuk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përfshihet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asnjë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nga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shpenzimet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mëposhtme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cilat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papranueshme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:</w:t>
      </w: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678"/>
      </w:tblGrid>
      <w:tr w:rsidR="00A45603" w:rsidRPr="005B6221" w14:paraId="4844365D" w14:textId="77777777" w:rsidTr="0076089B">
        <w:tc>
          <w:tcPr>
            <w:tcW w:w="4658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324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buxhetuara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drejtpërsëdrejti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individët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përfituesit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individual;</w:t>
            </w:r>
          </w:p>
        </w:tc>
        <w:tc>
          <w:tcPr>
            <w:tcW w:w="4678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6518" w14:textId="5336602E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vizita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studimore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, bursa</w:t>
            </w:r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shkollim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dhe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16861C39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764F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Kostot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ndërtim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punime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infrastrukturore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9D73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projekte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jashtë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Kosovës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49673E33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693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Kostot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drejtimit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institucioneve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publike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përfshirë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);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006E" w14:textId="4C1F480E" w:rsidR="00A45603" w:rsidRPr="005B6221" w:rsidRDefault="00FB29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Pagat</w:t>
            </w:r>
            <w:proofErr w:type="spellEnd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meditjet</w:t>
            </w:r>
            <w:proofErr w:type="spellEnd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tarifat</w:t>
            </w:r>
            <w:proofErr w:type="spellEnd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eksperteve</w:t>
            </w:r>
            <w:proofErr w:type="spellEnd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nderkombetare</w:t>
            </w:r>
            <w:proofErr w:type="spellEnd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454A60BC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F3E3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Borxhet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dhe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borxheve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interesi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);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F84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Provizonet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humbjet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detyrimeve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potenciale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ardhshme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4999889C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D4D4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Artikujt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financuar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tashmë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nga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një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donator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tjetër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përfshirë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);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9C42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udhëtimit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përdorim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privat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udhëtime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biznes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klasë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parë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4C2C2BCD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B399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Humbjet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shkëmbim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valutës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AFC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Kreditë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palët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treta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20C09CD8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2E77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Blerjet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tokave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ndërtesave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60A5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telefonisë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përdorim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privat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7B5FA8DB" w14:textId="77777777" w:rsidTr="0076089B">
        <w:tc>
          <w:tcPr>
            <w:tcW w:w="9336" w:type="dxa"/>
            <w:gridSpan w:val="2"/>
            <w:tcBorders>
              <w:top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CA89" w14:textId="6827F1F5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shtesë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siç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janë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vendeve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takim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ekuivalentet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financuar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pagesat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stafin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pjesëmarrës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folësit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ftuar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pjesëmarrësit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punëtorive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1FDDD784" w14:textId="77777777" w:rsidR="00A45603" w:rsidRPr="005B6221" w:rsidRDefault="00A45603" w:rsidP="00FB2903">
      <w:pPr>
        <w:numPr>
          <w:ilvl w:val="0"/>
          <w:numId w:val="20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paktën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60%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ndarë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aktivitete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jo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shumë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se 40% i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ndahen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stafit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shpenzimeve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operative.</w:t>
      </w:r>
    </w:p>
    <w:p w14:paraId="295564C8" w14:textId="77777777" w:rsidR="00463255" w:rsidRDefault="0046325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94C27" w14:textId="59D8D07E" w:rsidR="00EF6FE5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C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A45603">
        <w:rPr>
          <w:b/>
          <w:bCs/>
          <w:sz w:val="20"/>
          <w:szCs w:val="20"/>
        </w:rPr>
        <w:t>V</w:t>
      </w:r>
      <w:r w:rsidR="00A45603">
        <w:rPr>
          <w:rStyle w:val="notranslate"/>
          <w:b/>
          <w:bCs/>
          <w:sz w:val="20"/>
          <w:szCs w:val="20"/>
        </w:rPr>
        <w:t>lerësim</w:t>
      </w:r>
      <w:proofErr w:type="spellEnd"/>
      <w:r w:rsidR="00A45603">
        <w:rPr>
          <w:b/>
          <w:bCs/>
          <w:sz w:val="20"/>
          <w:szCs w:val="20"/>
        </w:rPr>
        <w:t xml:space="preserve"> i </w:t>
      </w:r>
      <w:proofErr w:type="spellStart"/>
      <w:r w:rsidR="00A45603">
        <w:rPr>
          <w:rStyle w:val="notranslate"/>
          <w:b/>
          <w:bCs/>
          <w:sz w:val="20"/>
          <w:szCs w:val="20"/>
        </w:rPr>
        <w:t>Organizatës</w:t>
      </w:r>
      <w:proofErr w:type="spellEnd"/>
      <w:r w:rsidR="00A45603">
        <w:rPr>
          <w:rStyle w:val="notranslate"/>
          <w:b/>
          <w:bCs/>
          <w:sz w:val="20"/>
          <w:szCs w:val="20"/>
        </w:rPr>
        <w:t xml:space="preserve"> </w:t>
      </w:r>
      <w:proofErr w:type="spellStart"/>
      <w:r w:rsidR="00A45603">
        <w:rPr>
          <w:rStyle w:val="notranslate"/>
          <w:b/>
          <w:bCs/>
          <w:sz w:val="20"/>
          <w:szCs w:val="20"/>
        </w:rPr>
        <w:t>Aplikuese</w:t>
      </w:r>
      <w:proofErr w:type="spellEnd"/>
    </w:p>
    <w:p w14:paraId="5E7A8FD6" w14:textId="77777777" w:rsidR="0032360D" w:rsidRDefault="0032360D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5A6122A" w14:textId="5F7A396A" w:rsidR="00A45603" w:rsidRPr="005B6221" w:rsidRDefault="00A45603" w:rsidP="00A4560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Faza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C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do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sjellë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shqyrtimin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informatave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shtesë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kërkohen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DRC-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ja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hap i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dytë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,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mënyrë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përcaktohet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se:</w:t>
      </w:r>
    </w:p>
    <w:p w14:paraId="6F1399F7" w14:textId="761EAB3B" w:rsidR="00A45603" w:rsidRPr="005B6221" w:rsidRDefault="00A45603" w:rsidP="00FB2903">
      <w:pPr>
        <w:numPr>
          <w:ilvl w:val="0"/>
          <w:numId w:val="21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Organizata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përfaqësuesi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saj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autorizuar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ligjërisht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regjistruar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Ministrinë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Administratës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Publike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/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Departamenti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Regjis</w:t>
      </w:r>
      <w:r w:rsidR="00FB2903">
        <w:rPr>
          <w:rStyle w:val="notranslate"/>
          <w:rFonts w:asciiTheme="majorHAnsi" w:hAnsiTheme="majorHAnsi" w:cstheme="majorHAnsi"/>
          <w:sz w:val="20"/>
          <w:szCs w:val="20"/>
        </w:rPr>
        <w:t>trimin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Ndërlidhjen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e OJQ-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ve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5E068839" w14:textId="77777777" w:rsidR="00A45603" w:rsidRPr="005B6221" w:rsidRDefault="00A45603" w:rsidP="00FB2903">
      <w:pPr>
        <w:numPr>
          <w:ilvl w:val="0"/>
          <w:numId w:val="21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Organizata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regjistruar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Administratën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Tatimore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ka</w:t>
      </w:r>
      <w:r w:rsidRPr="005B6221">
        <w:rPr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nuk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 ka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detyrime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ndaj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saj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3BA4D756" w14:textId="23410BC8" w:rsidR="00A45603" w:rsidRPr="005B6221" w:rsidRDefault="00FB2903" w:rsidP="00FB2903">
      <w:pPr>
        <w:numPr>
          <w:ilvl w:val="0"/>
          <w:numId w:val="21"/>
        </w:numPr>
        <w:tabs>
          <w:tab w:val="clear" w:pos="720"/>
          <w:tab w:val="num" w:pos="426"/>
        </w:tabs>
        <w:spacing w:before="100" w:after="6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Style w:val="notranslate"/>
          <w:rFonts w:asciiTheme="majorHAnsi" w:hAnsiTheme="majorHAnsi" w:cstheme="majorHAnsi"/>
          <w:sz w:val="20"/>
          <w:szCs w:val="20"/>
        </w:rPr>
        <w:t>Organizata</w:t>
      </w:r>
      <w:proofErr w:type="spellEnd"/>
      <w:r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Style w:val="notranslate"/>
          <w:rFonts w:asciiTheme="majorHAnsi" w:hAnsiTheme="majorHAnsi" w:cstheme="majorHAnsi"/>
          <w:sz w:val="20"/>
          <w:szCs w:val="20"/>
        </w:rPr>
        <w:t>a</w:t>
      </w:r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plikuese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përfaqësuesi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saj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autorizuar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ligjërisht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nuk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te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listuara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ndonjë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nga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këto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si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vijojnë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:</w:t>
      </w: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723"/>
      </w:tblGrid>
      <w:tr w:rsidR="00A45603" w:rsidRPr="005B6221" w14:paraId="4283B788" w14:textId="77777777" w:rsidTr="0076089B">
        <w:tc>
          <w:tcPr>
            <w:tcW w:w="4810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D5E9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Sistemi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qeverisë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amerikane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menaxhimin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çmimeve</w:t>
            </w:r>
            <w:proofErr w:type="spellEnd"/>
          </w:p>
        </w:tc>
        <w:tc>
          <w:tcPr>
            <w:tcW w:w="4810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130D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Shteteve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Thesarit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Shteteve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Bashkuara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Thesarit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dhe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Personave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Bllokuar</w:t>
            </w:r>
            <w:proofErr w:type="spellEnd"/>
          </w:p>
        </w:tc>
      </w:tr>
      <w:tr w:rsidR="00A45603" w:rsidRPr="005B6221" w14:paraId="7584D828" w14:textId="77777777" w:rsidTr="0076089B"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C621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konsoliduar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sanksioneve</w:t>
            </w:r>
            <w:proofErr w:type="spellEnd"/>
          </w:p>
        </w:tc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C524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konsoliduar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Qëllimeve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Internetit</w:t>
            </w:r>
            <w:proofErr w:type="spellEnd"/>
          </w:p>
        </w:tc>
      </w:tr>
      <w:tr w:rsidR="00A45603" w:rsidRPr="005B6221" w14:paraId="31B0597F" w14:textId="77777777" w:rsidTr="0076089B"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6DD2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Grupe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organizata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terroriste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përshkruara</w:t>
            </w:r>
            <w:proofErr w:type="spellEnd"/>
          </w:p>
        </w:tc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CB5C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Organizatat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dhe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Individët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Përcaktuar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Thesarit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HM</w:t>
            </w:r>
          </w:p>
        </w:tc>
      </w:tr>
      <w:tr w:rsidR="00A45603" w:rsidRPr="005B6221" w14:paraId="3ABBD730" w14:textId="77777777" w:rsidTr="0076089B"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2524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firmave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dhe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individëve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papranueshëm</w:t>
            </w:r>
            <w:proofErr w:type="spellEnd"/>
          </w:p>
        </w:tc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C545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Qendra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Kërkimit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Rastet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Rëndësishme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Korrupsionit</w:t>
            </w:r>
            <w:proofErr w:type="spellEnd"/>
          </w:p>
        </w:tc>
      </w:tr>
      <w:tr w:rsidR="00A45603" w:rsidRPr="005B6221" w14:paraId="06363EB9" w14:textId="77777777" w:rsidTr="0076089B">
        <w:tc>
          <w:tcPr>
            <w:tcW w:w="4810" w:type="dxa"/>
            <w:tcBorders>
              <w:top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0E39" w14:textId="379E6546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Këshilli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Sigurimit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OKB - ISIL (Da'esh)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dhe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Sanksioneve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Al-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Kaidës</w:t>
            </w:r>
            <w:proofErr w:type="spellEnd"/>
          </w:p>
        </w:tc>
        <w:tc>
          <w:tcPr>
            <w:tcW w:w="4810" w:type="dxa"/>
            <w:tcBorders>
              <w:top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8CFB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sanksioneve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Këshillit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Sigurimit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Kombeve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Bashkuara</w:t>
            </w:r>
            <w:proofErr w:type="spellEnd"/>
          </w:p>
        </w:tc>
      </w:tr>
    </w:tbl>
    <w:p w14:paraId="6A10E1E6" w14:textId="77777777" w:rsidR="00A45603" w:rsidRPr="005B6221" w:rsidRDefault="00A45603" w:rsidP="00FB2903">
      <w:pPr>
        <w:numPr>
          <w:ilvl w:val="0"/>
          <w:numId w:val="22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Organizata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ka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kapacitetin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projektin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propozuar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DRC-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kërkesat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donatorit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24B71238" w14:textId="77777777" w:rsidR="00A45603" w:rsidRPr="005B6221" w:rsidRDefault="00A45603" w:rsidP="00FB2903">
      <w:pPr>
        <w:numPr>
          <w:ilvl w:val="0"/>
          <w:numId w:val="22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Organizata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legjislacionin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shtesë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specifik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veprimtaritë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ata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dëshirojnë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shembull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rastin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mbështetjes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arsimore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sistemit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shkollor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, me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Udhëzimin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Administrativ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12/2017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mbi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Themelimin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Funksionimin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Qendrave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Mësimore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).</w:t>
      </w:r>
    </w:p>
    <w:p w14:paraId="0618B012" w14:textId="18C5C831" w:rsidR="006A36E1" w:rsidRPr="00FB2903" w:rsidRDefault="00A45603" w:rsidP="00FB2903">
      <w:pPr>
        <w:numPr>
          <w:ilvl w:val="0"/>
          <w:numId w:val="22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lastRenderedPageBreak/>
        <w:t>Organizata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ka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ngritur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kornizën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bashkëpunimit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koordinimit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institucionet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dhe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/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palët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tjera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cila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nevojshme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projektit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propozuar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sectPr w:rsidR="006A36E1" w:rsidRPr="00FB2903" w:rsidSect="008E4121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267B" w14:textId="77777777" w:rsidR="00273520" w:rsidRDefault="00273520" w:rsidP="00462960">
      <w:pPr>
        <w:spacing w:after="0" w:line="240" w:lineRule="auto"/>
      </w:pPr>
      <w:r>
        <w:separator/>
      </w:r>
    </w:p>
  </w:endnote>
  <w:endnote w:type="continuationSeparator" w:id="0">
    <w:p w14:paraId="7B984DFE" w14:textId="77777777" w:rsidR="00273520" w:rsidRDefault="00273520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D6F" w14:textId="77777777" w:rsidR="00AD553A" w:rsidRDefault="00AD553A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AD553A" w:rsidRDefault="00AD553A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5AE2" w14:textId="77777777" w:rsidR="00AD553A" w:rsidRPr="009F4F26" w:rsidRDefault="00AD553A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97598D">
      <w:rPr>
        <w:rStyle w:val="PageNumber"/>
        <w:noProof/>
        <w:sz w:val="20"/>
      </w:rPr>
      <w:t>1</w:t>
    </w:r>
    <w:r w:rsidRPr="009F4F26">
      <w:rPr>
        <w:rStyle w:val="PageNumber"/>
        <w:sz w:val="20"/>
      </w:rPr>
      <w:fldChar w:fldCharType="end"/>
    </w:r>
  </w:p>
  <w:p w14:paraId="7AD18A02" w14:textId="77777777" w:rsidR="00AD553A" w:rsidRDefault="00AD553A" w:rsidP="00AE1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1722" w14:textId="77777777" w:rsidR="00273520" w:rsidRDefault="00273520" w:rsidP="00462960">
      <w:pPr>
        <w:spacing w:after="0" w:line="240" w:lineRule="auto"/>
      </w:pPr>
      <w:r>
        <w:separator/>
      </w:r>
    </w:p>
  </w:footnote>
  <w:footnote w:type="continuationSeparator" w:id="0">
    <w:p w14:paraId="221F3622" w14:textId="77777777" w:rsidR="00273520" w:rsidRDefault="00273520" w:rsidP="00462960">
      <w:pPr>
        <w:spacing w:after="0" w:line="240" w:lineRule="auto"/>
      </w:pPr>
      <w:r>
        <w:continuationSeparator/>
      </w:r>
    </w:p>
  </w:footnote>
  <w:footnote w:id="1">
    <w:p w14:paraId="7D00B860" w14:textId="538B296C" w:rsidR="00AA468D" w:rsidRPr="00AA468D" w:rsidRDefault="00AA468D" w:rsidP="00AA468D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AA468D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AA468D">
        <w:rPr>
          <w:rFonts w:asciiTheme="majorHAnsi" w:hAnsiTheme="majorHAnsi"/>
          <w:sz w:val="18"/>
        </w:rPr>
        <w:t>Keni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parasyshë</w:t>
      </w:r>
      <w:proofErr w:type="spellEnd"/>
      <w:r>
        <w:rPr>
          <w:rFonts w:asciiTheme="majorHAnsi" w:hAnsiTheme="majorHAnsi"/>
          <w:sz w:val="18"/>
        </w:rPr>
        <w:t xml:space="preserve"> se </w:t>
      </w:r>
      <w:proofErr w:type="spellStart"/>
      <w:r>
        <w:rPr>
          <w:rFonts w:asciiTheme="majorHAnsi" w:hAnsiTheme="majorHAnsi"/>
          <w:sz w:val="18"/>
        </w:rPr>
        <w:t>aktivitetet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që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synojnë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Mitrovicën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Jugore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janë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lëndë</w:t>
      </w:r>
      <w:proofErr w:type="spellEnd"/>
      <w:r>
        <w:rPr>
          <w:rFonts w:asciiTheme="majorHAnsi" w:hAnsiTheme="majorHAnsi"/>
          <w:sz w:val="18"/>
        </w:rPr>
        <w:t xml:space="preserve"> e </w:t>
      </w:r>
      <w:proofErr w:type="spellStart"/>
      <w:r>
        <w:rPr>
          <w:rFonts w:asciiTheme="majorHAnsi" w:hAnsiTheme="majorHAnsi"/>
          <w:sz w:val="18"/>
        </w:rPr>
        <w:t>thirrjes</w:t>
      </w:r>
      <w:proofErr w:type="spellEnd"/>
      <w:r>
        <w:rPr>
          <w:rFonts w:asciiTheme="majorHAnsi" w:hAnsiTheme="majorHAnsi"/>
          <w:sz w:val="18"/>
        </w:rPr>
        <w:t xml:space="preserve"> së </w:t>
      </w:r>
      <w:proofErr w:type="spellStart"/>
      <w:r>
        <w:rPr>
          <w:rFonts w:asciiTheme="majorHAnsi" w:hAnsiTheme="majorHAnsi"/>
          <w:sz w:val="18"/>
        </w:rPr>
        <w:t>veçantë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për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aplikim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dhe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nuk</w:t>
      </w:r>
      <w:proofErr w:type="spellEnd"/>
      <w:r>
        <w:rPr>
          <w:rFonts w:asciiTheme="majorHAnsi" w:hAnsiTheme="majorHAnsi"/>
          <w:sz w:val="18"/>
        </w:rPr>
        <w:t xml:space="preserve"> do </w:t>
      </w:r>
      <w:proofErr w:type="spellStart"/>
      <w:r>
        <w:rPr>
          <w:rFonts w:asciiTheme="majorHAnsi" w:hAnsiTheme="majorHAnsi"/>
          <w:sz w:val="18"/>
        </w:rPr>
        <w:t>të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konsiderohen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të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pranueshme</w:t>
      </w:r>
      <w:proofErr w:type="spellEnd"/>
      <w:r>
        <w:rPr>
          <w:rFonts w:asciiTheme="majorHAnsi" w:hAnsiTheme="majorHAnsi"/>
          <w:sz w:val="18"/>
        </w:rPr>
        <w:t>.</w:t>
      </w:r>
    </w:p>
  </w:footnote>
  <w:footnote w:id="2">
    <w:p w14:paraId="64F60CFB" w14:textId="606A63F9" w:rsidR="00AD553A" w:rsidRPr="00FB2903" w:rsidRDefault="00AD553A" w:rsidP="00FB2903">
      <w:pPr>
        <w:pStyle w:val="Footer"/>
        <w:tabs>
          <w:tab w:val="left" w:pos="284"/>
        </w:tabs>
        <w:ind w:left="284" w:right="360" w:hanging="284"/>
        <w:rPr>
          <w:rFonts w:asciiTheme="majorHAnsi" w:hAnsiTheme="majorHAnsi" w:cstheme="majorHAnsi"/>
          <w:sz w:val="18"/>
          <w:szCs w:val="18"/>
        </w:rPr>
      </w:pPr>
      <w:r w:rsidRPr="000C3712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Prania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e </w:t>
      </w:r>
      <w:proofErr w:type="spellStart"/>
      <w:r w:rsidR="00FA003F" w:rsidRPr="00FB2903">
        <w:rPr>
          <w:rFonts w:asciiTheme="majorHAnsi" w:hAnsiTheme="majorHAnsi" w:cstheme="majorHAnsi"/>
          <w:b/>
          <w:sz w:val="18"/>
          <w:szCs w:val="18"/>
        </w:rPr>
        <w:t>ndonjërës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nga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pikat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në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këtë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listë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do ta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përjashtojë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propozimin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e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projektit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nga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mundësia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për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tu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financuar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>.</w:t>
      </w:r>
    </w:p>
  </w:footnote>
  <w:footnote w:id="3">
    <w:p w14:paraId="15265D8D" w14:textId="5685A727" w:rsidR="00FB2903" w:rsidRPr="00FB2903" w:rsidRDefault="00FB2903" w:rsidP="00FB2903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FB2903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FA003F">
        <w:rPr>
          <w:rFonts w:cstheme="majorHAnsi"/>
          <w:sz w:val="18"/>
          <w:szCs w:val="18"/>
        </w:rPr>
        <w:t>Projekt</w:t>
      </w:r>
      <w:proofErr w:type="spellEnd"/>
      <w:r w:rsidRP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propozimet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mund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të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përfshijnë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pikat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në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këtë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listë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, por </w:t>
      </w:r>
      <w:proofErr w:type="spellStart"/>
      <w:r>
        <w:rPr>
          <w:rFonts w:asciiTheme="majorHAnsi" w:hAnsiTheme="majorHAnsi" w:cstheme="majorHAnsi"/>
          <w:sz w:val="18"/>
          <w:szCs w:val="18"/>
        </w:rPr>
        <w:t>ato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nuk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mund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të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kufizohen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në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E21D" w14:textId="5353736B" w:rsidR="0094394B" w:rsidRDefault="00943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DAF"/>
    <w:multiLevelType w:val="multilevel"/>
    <w:tmpl w:val="EDA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906E4"/>
    <w:multiLevelType w:val="multilevel"/>
    <w:tmpl w:val="310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2766D"/>
    <w:multiLevelType w:val="hybridMultilevel"/>
    <w:tmpl w:val="9A6A550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857"/>
    <w:multiLevelType w:val="hybridMultilevel"/>
    <w:tmpl w:val="776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1EE"/>
    <w:multiLevelType w:val="multilevel"/>
    <w:tmpl w:val="04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8" w15:restartNumberingAfterBreak="0">
    <w:nsid w:val="3EA6360A"/>
    <w:multiLevelType w:val="hybridMultilevel"/>
    <w:tmpl w:val="CA4EA76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6F2D"/>
    <w:multiLevelType w:val="hybridMultilevel"/>
    <w:tmpl w:val="DE8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1B00"/>
    <w:multiLevelType w:val="hybridMultilevel"/>
    <w:tmpl w:val="E558FF30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6011F"/>
    <w:multiLevelType w:val="multilevel"/>
    <w:tmpl w:val="6500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FF5C67"/>
    <w:multiLevelType w:val="multilevel"/>
    <w:tmpl w:val="324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5519E"/>
    <w:multiLevelType w:val="hybridMultilevel"/>
    <w:tmpl w:val="ADE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7173F"/>
    <w:multiLevelType w:val="multilevel"/>
    <w:tmpl w:val="1C9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F42182"/>
    <w:multiLevelType w:val="hybridMultilevel"/>
    <w:tmpl w:val="6B74B5D4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B478E7"/>
    <w:multiLevelType w:val="multilevel"/>
    <w:tmpl w:val="2B1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EE0248"/>
    <w:multiLevelType w:val="hybridMultilevel"/>
    <w:tmpl w:val="621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F0E9B"/>
    <w:multiLevelType w:val="hybridMultilevel"/>
    <w:tmpl w:val="1B98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61983"/>
    <w:multiLevelType w:val="multilevel"/>
    <w:tmpl w:val="D9A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1"/>
    </w:lvlOverride>
  </w:num>
  <w:num w:numId="2">
    <w:abstractNumId w:val="7"/>
  </w:num>
  <w:num w:numId="3">
    <w:abstractNumId w:val="19"/>
  </w:num>
  <w:num w:numId="4">
    <w:abstractNumId w:val="3"/>
  </w:num>
  <w:num w:numId="5">
    <w:abstractNumId w:val="6"/>
  </w:num>
  <w:num w:numId="6">
    <w:abstractNumId w:val="18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20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  <w:num w:numId="17">
    <w:abstractNumId w:val="21"/>
  </w:num>
  <w:num w:numId="18">
    <w:abstractNumId w:val="5"/>
  </w:num>
  <w:num w:numId="19">
    <w:abstractNumId w:val="12"/>
  </w:num>
  <w:num w:numId="20">
    <w:abstractNumId w:val="11"/>
  </w:num>
  <w:num w:numId="21">
    <w:abstractNumId w:val="17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24"/>
    <w:rsid w:val="000028BA"/>
    <w:rsid w:val="00006ED8"/>
    <w:rsid w:val="00012C40"/>
    <w:rsid w:val="00014222"/>
    <w:rsid w:val="0003477D"/>
    <w:rsid w:val="0003631C"/>
    <w:rsid w:val="0004337B"/>
    <w:rsid w:val="00047E52"/>
    <w:rsid w:val="00052DED"/>
    <w:rsid w:val="0006201A"/>
    <w:rsid w:val="00070A62"/>
    <w:rsid w:val="00081222"/>
    <w:rsid w:val="0008473E"/>
    <w:rsid w:val="000907B1"/>
    <w:rsid w:val="000935E3"/>
    <w:rsid w:val="000A2D81"/>
    <w:rsid w:val="000B0E16"/>
    <w:rsid w:val="000C3712"/>
    <w:rsid w:val="000D379B"/>
    <w:rsid w:val="000D6365"/>
    <w:rsid w:val="000E3ED0"/>
    <w:rsid w:val="000F3CB8"/>
    <w:rsid w:val="000F50B2"/>
    <w:rsid w:val="000F6DFA"/>
    <w:rsid w:val="00105279"/>
    <w:rsid w:val="001105A8"/>
    <w:rsid w:val="0011664B"/>
    <w:rsid w:val="00116730"/>
    <w:rsid w:val="001261F9"/>
    <w:rsid w:val="00131E4F"/>
    <w:rsid w:val="00151E75"/>
    <w:rsid w:val="00155D29"/>
    <w:rsid w:val="00164EDD"/>
    <w:rsid w:val="001706FD"/>
    <w:rsid w:val="00175EA3"/>
    <w:rsid w:val="001820F1"/>
    <w:rsid w:val="001872AF"/>
    <w:rsid w:val="001A2B8F"/>
    <w:rsid w:val="001A55DB"/>
    <w:rsid w:val="001A5E61"/>
    <w:rsid w:val="001B095D"/>
    <w:rsid w:val="001B0CDC"/>
    <w:rsid w:val="001B3535"/>
    <w:rsid w:val="001B4F9E"/>
    <w:rsid w:val="001B7B45"/>
    <w:rsid w:val="001C144B"/>
    <w:rsid w:val="001C413A"/>
    <w:rsid w:val="001C558B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402B"/>
    <w:rsid w:val="00236317"/>
    <w:rsid w:val="002409B3"/>
    <w:rsid w:val="00241A55"/>
    <w:rsid w:val="002426B3"/>
    <w:rsid w:val="00246F52"/>
    <w:rsid w:val="00247CB4"/>
    <w:rsid w:val="002624A9"/>
    <w:rsid w:val="002722F1"/>
    <w:rsid w:val="00272389"/>
    <w:rsid w:val="00272C78"/>
    <w:rsid w:val="00272D22"/>
    <w:rsid w:val="00273520"/>
    <w:rsid w:val="00282C74"/>
    <w:rsid w:val="002948AD"/>
    <w:rsid w:val="0029708E"/>
    <w:rsid w:val="0029778C"/>
    <w:rsid w:val="002A0308"/>
    <w:rsid w:val="002A50AD"/>
    <w:rsid w:val="002B7E54"/>
    <w:rsid w:val="002C2B22"/>
    <w:rsid w:val="002D729E"/>
    <w:rsid w:val="002E0A28"/>
    <w:rsid w:val="002E4D48"/>
    <w:rsid w:val="002E7481"/>
    <w:rsid w:val="002F0359"/>
    <w:rsid w:val="002F38D7"/>
    <w:rsid w:val="003000B0"/>
    <w:rsid w:val="00306213"/>
    <w:rsid w:val="0030688F"/>
    <w:rsid w:val="003101F1"/>
    <w:rsid w:val="0031223B"/>
    <w:rsid w:val="003146E4"/>
    <w:rsid w:val="0032360D"/>
    <w:rsid w:val="0032776A"/>
    <w:rsid w:val="003327BB"/>
    <w:rsid w:val="00334581"/>
    <w:rsid w:val="00335AC5"/>
    <w:rsid w:val="003417C2"/>
    <w:rsid w:val="00346CBB"/>
    <w:rsid w:val="00351CD6"/>
    <w:rsid w:val="00355F6C"/>
    <w:rsid w:val="00371DF9"/>
    <w:rsid w:val="00375FC2"/>
    <w:rsid w:val="00382AEA"/>
    <w:rsid w:val="00383C66"/>
    <w:rsid w:val="00390630"/>
    <w:rsid w:val="003949FA"/>
    <w:rsid w:val="0039616B"/>
    <w:rsid w:val="003A04CD"/>
    <w:rsid w:val="003B3015"/>
    <w:rsid w:val="003B33D0"/>
    <w:rsid w:val="003B6C76"/>
    <w:rsid w:val="003B7FBF"/>
    <w:rsid w:val="003C0B5F"/>
    <w:rsid w:val="003E483E"/>
    <w:rsid w:val="003E4958"/>
    <w:rsid w:val="003F32D2"/>
    <w:rsid w:val="003F7C2C"/>
    <w:rsid w:val="00405B5A"/>
    <w:rsid w:val="00413A47"/>
    <w:rsid w:val="004309FA"/>
    <w:rsid w:val="0043134F"/>
    <w:rsid w:val="00436EA2"/>
    <w:rsid w:val="00446383"/>
    <w:rsid w:val="00452350"/>
    <w:rsid w:val="00454324"/>
    <w:rsid w:val="00457431"/>
    <w:rsid w:val="00460B1F"/>
    <w:rsid w:val="00462960"/>
    <w:rsid w:val="00463255"/>
    <w:rsid w:val="004669F0"/>
    <w:rsid w:val="0047759C"/>
    <w:rsid w:val="00477C77"/>
    <w:rsid w:val="00482A7A"/>
    <w:rsid w:val="00486A17"/>
    <w:rsid w:val="00486EB3"/>
    <w:rsid w:val="00497441"/>
    <w:rsid w:val="004A4CC8"/>
    <w:rsid w:val="004B178D"/>
    <w:rsid w:val="004B5C02"/>
    <w:rsid w:val="004C3B12"/>
    <w:rsid w:val="004C603E"/>
    <w:rsid w:val="004D3241"/>
    <w:rsid w:val="004F18EC"/>
    <w:rsid w:val="00503D4B"/>
    <w:rsid w:val="0051421F"/>
    <w:rsid w:val="00514FA1"/>
    <w:rsid w:val="00516945"/>
    <w:rsid w:val="00517AD1"/>
    <w:rsid w:val="00524334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B1861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3992"/>
    <w:rsid w:val="00606E01"/>
    <w:rsid w:val="00612CE5"/>
    <w:rsid w:val="0061382C"/>
    <w:rsid w:val="00613D10"/>
    <w:rsid w:val="00616121"/>
    <w:rsid w:val="00635EF2"/>
    <w:rsid w:val="006400C3"/>
    <w:rsid w:val="00640D04"/>
    <w:rsid w:val="006431A8"/>
    <w:rsid w:val="00643A9C"/>
    <w:rsid w:val="006473AD"/>
    <w:rsid w:val="00654EDD"/>
    <w:rsid w:val="00663AA6"/>
    <w:rsid w:val="006711B4"/>
    <w:rsid w:val="006732E1"/>
    <w:rsid w:val="00677ABE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0383"/>
    <w:rsid w:val="006D3EF7"/>
    <w:rsid w:val="006E32F3"/>
    <w:rsid w:val="006F067E"/>
    <w:rsid w:val="006F08DB"/>
    <w:rsid w:val="006F6293"/>
    <w:rsid w:val="007039B0"/>
    <w:rsid w:val="007160FA"/>
    <w:rsid w:val="0072402D"/>
    <w:rsid w:val="00724317"/>
    <w:rsid w:val="00727ABF"/>
    <w:rsid w:val="00735760"/>
    <w:rsid w:val="00741978"/>
    <w:rsid w:val="007420F1"/>
    <w:rsid w:val="00744D35"/>
    <w:rsid w:val="007517B3"/>
    <w:rsid w:val="00751AFA"/>
    <w:rsid w:val="00754AFF"/>
    <w:rsid w:val="00754B7C"/>
    <w:rsid w:val="00763CE1"/>
    <w:rsid w:val="00767B18"/>
    <w:rsid w:val="00770EAE"/>
    <w:rsid w:val="00771016"/>
    <w:rsid w:val="00777137"/>
    <w:rsid w:val="00783120"/>
    <w:rsid w:val="00790A5C"/>
    <w:rsid w:val="007A039D"/>
    <w:rsid w:val="007C6AEA"/>
    <w:rsid w:val="007D4ADE"/>
    <w:rsid w:val="00805367"/>
    <w:rsid w:val="00813FA8"/>
    <w:rsid w:val="008142D0"/>
    <w:rsid w:val="00814CB0"/>
    <w:rsid w:val="00817F82"/>
    <w:rsid w:val="00826CA9"/>
    <w:rsid w:val="00847E6C"/>
    <w:rsid w:val="00850432"/>
    <w:rsid w:val="00853037"/>
    <w:rsid w:val="00866DE5"/>
    <w:rsid w:val="00881084"/>
    <w:rsid w:val="00887EAC"/>
    <w:rsid w:val="008939B3"/>
    <w:rsid w:val="008B6AF2"/>
    <w:rsid w:val="008C61C5"/>
    <w:rsid w:val="008D2000"/>
    <w:rsid w:val="008E07C3"/>
    <w:rsid w:val="008E4121"/>
    <w:rsid w:val="008E4A24"/>
    <w:rsid w:val="008F332E"/>
    <w:rsid w:val="00900419"/>
    <w:rsid w:val="00900A0B"/>
    <w:rsid w:val="0090287E"/>
    <w:rsid w:val="00907C5C"/>
    <w:rsid w:val="009122AE"/>
    <w:rsid w:val="009171F3"/>
    <w:rsid w:val="00923350"/>
    <w:rsid w:val="00932C7F"/>
    <w:rsid w:val="009352E1"/>
    <w:rsid w:val="0094166E"/>
    <w:rsid w:val="00941942"/>
    <w:rsid w:val="0094394B"/>
    <w:rsid w:val="0095304F"/>
    <w:rsid w:val="00960A16"/>
    <w:rsid w:val="00961FF7"/>
    <w:rsid w:val="00971C2D"/>
    <w:rsid w:val="0097598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C7C25"/>
    <w:rsid w:val="009D2BDF"/>
    <w:rsid w:val="009E065B"/>
    <w:rsid w:val="009F14C5"/>
    <w:rsid w:val="009F261B"/>
    <w:rsid w:val="009F4F26"/>
    <w:rsid w:val="00A0535A"/>
    <w:rsid w:val="00A126C3"/>
    <w:rsid w:val="00A15CDC"/>
    <w:rsid w:val="00A166F3"/>
    <w:rsid w:val="00A177AF"/>
    <w:rsid w:val="00A22E97"/>
    <w:rsid w:val="00A4172E"/>
    <w:rsid w:val="00A41D18"/>
    <w:rsid w:val="00A45603"/>
    <w:rsid w:val="00A52884"/>
    <w:rsid w:val="00A60AE9"/>
    <w:rsid w:val="00A715BE"/>
    <w:rsid w:val="00A74152"/>
    <w:rsid w:val="00A74601"/>
    <w:rsid w:val="00A75793"/>
    <w:rsid w:val="00A84E90"/>
    <w:rsid w:val="00A946EA"/>
    <w:rsid w:val="00A95EFE"/>
    <w:rsid w:val="00AA468D"/>
    <w:rsid w:val="00AB58CC"/>
    <w:rsid w:val="00AC6A6A"/>
    <w:rsid w:val="00AC7BAB"/>
    <w:rsid w:val="00AD553A"/>
    <w:rsid w:val="00AE11C7"/>
    <w:rsid w:val="00AE20B2"/>
    <w:rsid w:val="00AE6181"/>
    <w:rsid w:val="00AE74BD"/>
    <w:rsid w:val="00AF38EB"/>
    <w:rsid w:val="00AF7C62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2233"/>
    <w:rsid w:val="00B6576B"/>
    <w:rsid w:val="00B81651"/>
    <w:rsid w:val="00B82511"/>
    <w:rsid w:val="00B85499"/>
    <w:rsid w:val="00B961C8"/>
    <w:rsid w:val="00BA400F"/>
    <w:rsid w:val="00BA4B24"/>
    <w:rsid w:val="00BD0E19"/>
    <w:rsid w:val="00BD40A8"/>
    <w:rsid w:val="00BE23B1"/>
    <w:rsid w:val="00BE7F36"/>
    <w:rsid w:val="00BF3F76"/>
    <w:rsid w:val="00C01302"/>
    <w:rsid w:val="00C10C21"/>
    <w:rsid w:val="00C13E31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87634"/>
    <w:rsid w:val="00C968A7"/>
    <w:rsid w:val="00C96F76"/>
    <w:rsid w:val="00CB0250"/>
    <w:rsid w:val="00CC0A28"/>
    <w:rsid w:val="00CD19C5"/>
    <w:rsid w:val="00CD29F1"/>
    <w:rsid w:val="00CF0428"/>
    <w:rsid w:val="00CF2428"/>
    <w:rsid w:val="00CF6D0B"/>
    <w:rsid w:val="00D0391C"/>
    <w:rsid w:val="00D03E60"/>
    <w:rsid w:val="00D102EE"/>
    <w:rsid w:val="00D14938"/>
    <w:rsid w:val="00D17273"/>
    <w:rsid w:val="00D26A64"/>
    <w:rsid w:val="00D273B6"/>
    <w:rsid w:val="00D3469A"/>
    <w:rsid w:val="00D425D8"/>
    <w:rsid w:val="00D50559"/>
    <w:rsid w:val="00D5107A"/>
    <w:rsid w:val="00D5189C"/>
    <w:rsid w:val="00D61382"/>
    <w:rsid w:val="00D66E18"/>
    <w:rsid w:val="00D878C4"/>
    <w:rsid w:val="00DA26A0"/>
    <w:rsid w:val="00DA3E87"/>
    <w:rsid w:val="00DA5C82"/>
    <w:rsid w:val="00DB1C60"/>
    <w:rsid w:val="00DB5135"/>
    <w:rsid w:val="00DC5313"/>
    <w:rsid w:val="00DC5B24"/>
    <w:rsid w:val="00DD01CD"/>
    <w:rsid w:val="00DD0374"/>
    <w:rsid w:val="00DD2B39"/>
    <w:rsid w:val="00E00499"/>
    <w:rsid w:val="00E00D1F"/>
    <w:rsid w:val="00E02471"/>
    <w:rsid w:val="00E03178"/>
    <w:rsid w:val="00E0708D"/>
    <w:rsid w:val="00E1791C"/>
    <w:rsid w:val="00E22DD5"/>
    <w:rsid w:val="00E4148A"/>
    <w:rsid w:val="00E43EB6"/>
    <w:rsid w:val="00E50BFC"/>
    <w:rsid w:val="00E52F08"/>
    <w:rsid w:val="00E63E81"/>
    <w:rsid w:val="00E64DE4"/>
    <w:rsid w:val="00E75FCD"/>
    <w:rsid w:val="00E82C12"/>
    <w:rsid w:val="00E90C83"/>
    <w:rsid w:val="00E934E6"/>
    <w:rsid w:val="00E9737B"/>
    <w:rsid w:val="00EA78AD"/>
    <w:rsid w:val="00EC75DF"/>
    <w:rsid w:val="00ED19E5"/>
    <w:rsid w:val="00EF348F"/>
    <w:rsid w:val="00EF64F2"/>
    <w:rsid w:val="00EF6FE5"/>
    <w:rsid w:val="00EF70AE"/>
    <w:rsid w:val="00F038DF"/>
    <w:rsid w:val="00F105FD"/>
    <w:rsid w:val="00F107BB"/>
    <w:rsid w:val="00F309A1"/>
    <w:rsid w:val="00F31D75"/>
    <w:rsid w:val="00F31DDE"/>
    <w:rsid w:val="00F32478"/>
    <w:rsid w:val="00F336A8"/>
    <w:rsid w:val="00F34FC6"/>
    <w:rsid w:val="00F36578"/>
    <w:rsid w:val="00F405F5"/>
    <w:rsid w:val="00F449A6"/>
    <w:rsid w:val="00F50C1B"/>
    <w:rsid w:val="00F510E7"/>
    <w:rsid w:val="00F57FB4"/>
    <w:rsid w:val="00F60CB7"/>
    <w:rsid w:val="00F6175C"/>
    <w:rsid w:val="00F61C5A"/>
    <w:rsid w:val="00F643DF"/>
    <w:rsid w:val="00F67C54"/>
    <w:rsid w:val="00F729F3"/>
    <w:rsid w:val="00F76A45"/>
    <w:rsid w:val="00F81F93"/>
    <w:rsid w:val="00F9322C"/>
    <w:rsid w:val="00FA003F"/>
    <w:rsid w:val="00FA14A9"/>
    <w:rsid w:val="00FA1AD2"/>
    <w:rsid w:val="00FA4D5B"/>
    <w:rsid w:val="00FA7F1F"/>
    <w:rsid w:val="00FB2903"/>
    <w:rsid w:val="00FB3892"/>
    <w:rsid w:val="00FB7EAA"/>
    <w:rsid w:val="00FC3193"/>
    <w:rsid w:val="00FD6FF5"/>
    <w:rsid w:val="00FE1542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46118"/>
  <w15:docId w15:val="{54621FC4-6275-4ECE-92CB-F0C4E26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9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translate">
    <w:name w:val="notranslate"/>
    <w:basedOn w:val="DefaultParagraphFont"/>
    <w:rsid w:val="00DB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A3B0E-8B0A-2F4B-8C01-7DCDC877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Burim Nebihu</cp:lastModifiedBy>
  <cp:revision>9</cp:revision>
  <dcterms:created xsi:type="dcterms:W3CDTF">2019-06-25T13:12:00Z</dcterms:created>
  <dcterms:modified xsi:type="dcterms:W3CDTF">2020-09-30T08:39:00Z</dcterms:modified>
</cp:coreProperties>
</file>