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2CDE" w14:textId="77777777" w:rsidR="00DB5135" w:rsidRPr="003B3015" w:rsidRDefault="00DB5135" w:rsidP="003B3015">
      <w:pPr>
        <w:spacing w:after="0" w:line="240" w:lineRule="auto"/>
        <w:ind w:left="10" w:right="60" w:hanging="10"/>
        <w:jc w:val="center"/>
        <w:rPr>
          <w:b/>
          <w:bCs/>
          <w:color w:val="000000" w:themeColor="text1"/>
          <w:lang w:val="en-GB"/>
        </w:rPr>
      </w:pPr>
      <w:r w:rsidRPr="003B3015">
        <w:rPr>
          <w:b/>
          <w:bCs/>
          <w:color w:val="000000" w:themeColor="text1"/>
          <w:lang w:val="en-GB"/>
        </w:rPr>
        <w:t>THIRRJE PËR APLIKIM</w:t>
      </w:r>
    </w:p>
    <w:p w14:paraId="60672BDF" w14:textId="77777777" w:rsidR="00DB5135" w:rsidRPr="003B3015" w:rsidRDefault="00DB5135" w:rsidP="003B3015">
      <w:pPr>
        <w:spacing w:after="0" w:line="240" w:lineRule="auto"/>
        <w:ind w:left="10" w:right="60" w:hanging="10"/>
        <w:jc w:val="center"/>
        <w:rPr>
          <w:b/>
          <w:bCs/>
          <w:color w:val="000000" w:themeColor="text1"/>
          <w:lang w:val="en-GB"/>
        </w:rPr>
      </w:pPr>
      <w:r w:rsidRPr="003B3015">
        <w:rPr>
          <w:b/>
          <w:bCs/>
          <w:color w:val="000000" w:themeColor="text1"/>
          <w:lang w:val="en-GB"/>
        </w:rPr>
        <w:t>nga ORGANIZATAT LOKALE JO-QEVERITARE në KOSOVË</w:t>
      </w:r>
    </w:p>
    <w:p w14:paraId="15121881" w14:textId="77777777" w:rsidR="009F261B" w:rsidRPr="00754B7C" w:rsidRDefault="009F261B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</w:p>
    <w:p w14:paraId="496C7886" w14:textId="77777777" w:rsidR="00DB5135" w:rsidRDefault="00DB5135" w:rsidP="00DB5135">
      <w:pPr>
        <w:pStyle w:val="NormalWeb"/>
        <w:pBdr>
          <w:top w:val="single" w:sz="6" w:space="1" w:color="BFBFBF"/>
          <w:bottom w:val="single" w:sz="6" w:space="1" w:color="BFBFBF"/>
        </w:pBdr>
        <w:spacing w:before="0" w:beforeAutospacing="0" w:after="0" w:afterAutospacing="0"/>
        <w:ind w:right="60" w:hanging="10"/>
        <w:jc w:val="center"/>
        <w:rPr>
          <w:color w:val="000000"/>
          <w:sz w:val="27"/>
          <w:szCs w:val="27"/>
        </w:rPr>
      </w:pPr>
      <w:r>
        <w:rPr>
          <w:rStyle w:val="notranslate"/>
          <w:rFonts w:ascii="Calibri" w:hAnsi="Calibri" w:cs="Calibri"/>
          <w:b/>
          <w:bCs/>
          <w:color w:val="000000"/>
          <w:sz w:val="22"/>
          <w:szCs w:val="22"/>
        </w:rPr>
        <w:t>PËRMBLEDHJE E PROCESIT TË VLERËSIMIT</w:t>
      </w:r>
    </w:p>
    <w:p w14:paraId="315D7DDB" w14:textId="77777777" w:rsidR="00754AFF" w:rsidRPr="00887EAC" w:rsidRDefault="00754AFF" w:rsidP="00F105FD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4F97B138" w14:textId="77777777" w:rsidR="00B4758E" w:rsidRPr="00887EAC" w:rsidRDefault="00B4758E" w:rsidP="00F105F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3D29ADF2" w14:textId="77777777" w:rsidR="00DB5135" w:rsidRDefault="00DB5135" w:rsidP="00DB5135">
      <w:pPr>
        <w:pStyle w:val="NormalWeb"/>
        <w:shd w:val="clear" w:color="auto" w:fill="D9D9D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rFonts w:ascii="Calibri" w:hAnsi="Calibri" w:cs="Calibri"/>
          <w:b/>
          <w:bCs/>
          <w:color w:val="000000"/>
          <w:sz w:val="20"/>
          <w:szCs w:val="20"/>
        </w:rPr>
        <w:t>PARIMET E PËRGJITHSHME</w:t>
      </w:r>
    </w:p>
    <w:p w14:paraId="0ECD25F2" w14:textId="77777777" w:rsidR="00A60AE9" w:rsidRPr="00887EAC" w:rsidRDefault="00A60AE9" w:rsidP="00F105FD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7440CE10" w14:textId="77777777" w:rsidR="00DB5135" w:rsidRPr="005B6221" w:rsidRDefault="00DB5135" w:rsidP="00DB5135">
      <w:pPr>
        <w:pStyle w:val="NormalWeb"/>
        <w:spacing w:before="0" w:beforeAutospacing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Aplikimet do të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vlerësohen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përmes një procesi që përbëhet nga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fazat e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mëposhtme, të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përshkruara në detaje si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më poshtë: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047"/>
        <w:gridCol w:w="3336"/>
      </w:tblGrid>
      <w:tr w:rsidR="00DB5135" w:rsidRPr="005B6221" w14:paraId="4CAF567F" w14:textId="77777777" w:rsidTr="0076089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2FCC" w14:textId="77777777" w:rsidR="00DB5135" w:rsidRPr="005B6221" w:rsidRDefault="00DB5135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A. Shqyrtimi administrativ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CAC35" w14:textId="77777777" w:rsidR="00DB5135" w:rsidRPr="005B6221" w:rsidRDefault="00DB5135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B. Vlerësimi i Projekt Propozimit 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733EA" w14:textId="77777777" w:rsidR="00DB5135" w:rsidRPr="005B6221" w:rsidRDefault="00DB5135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C. Vlerësimi i Organizatës Aplikuese</w:t>
            </w:r>
          </w:p>
        </w:tc>
      </w:tr>
    </w:tbl>
    <w:p w14:paraId="7D9632B4" w14:textId="77777777" w:rsidR="00DB5135" w:rsidRPr="005B6221" w:rsidRDefault="00DB5135" w:rsidP="00DB51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5B6221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6242B2A" w14:textId="77777777" w:rsidR="00DB5135" w:rsidRDefault="00DB5135" w:rsidP="00DB51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Pas dorëzimit, çdo aplikim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do të marrë një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numër referimi, i cili do të përdoret gjatë gjithë procesit të vlerësimit për identifikimin e aplikacionit</w:t>
      </w:r>
      <w:r>
        <w:rPr>
          <w:rStyle w:val="notranslate"/>
          <w:rFonts w:ascii="Calibri" w:hAnsi="Calibri" w:cs="Calibri"/>
          <w:color w:val="000000"/>
          <w:sz w:val="20"/>
          <w:szCs w:val="20"/>
        </w:rPr>
        <w:t>.</w:t>
      </w:r>
    </w:p>
    <w:p w14:paraId="374601D2" w14:textId="77777777" w:rsidR="00B62233" w:rsidRDefault="00B62233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B518347" w14:textId="77777777" w:rsidR="00FB2903" w:rsidRDefault="00FB2903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51AB5C9" w14:textId="0E52B172" w:rsidR="00272C78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97598D">
        <w:rPr>
          <w:rStyle w:val="notranslate"/>
          <w:b/>
          <w:bCs/>
          <w:sz w:val="20"/>
          <w:szCs w:val="20"/>
        </w:rPr>
        <w:t>Shqyrtimi A</w:t>
      </w:r>
      <w:r w:rsidR="00DB5135">
        <w:rPr>
          <w:rStyle w:val="notranslate"/>
          <w:b/>
          <w:bCs/>
          <w:sz w:val="20"/>
          <w:szCs w:val="20"/>
        </w:rPr>
        <w:t>dministrativ</w:t>
      </w:r>
    </w:p>
    <w:p w14:paraId="4467DCEA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3C1F2FC" w14:textId="77777777" w:rsidR="00DB5135" w:rsidRPr="005B6221" w:rsidRDefault="00DB5135" w:rsidP="00DB51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Shqyrtimi Administrativ parasheh kontrollin nëse:</w:t>
      </w:r>
    </w:p>
    <w:p w14:paraId="329389B6" w14:textId="4877B80C" w:rsidR="00DB5135" w:rsidRPr="005B6221" w:rsidRDefault="00DB5135" w:rsidP="00FB2903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</w:t>
      </w:r>
      <w:r w:rsidR="00081222">
        <w:rPr>
          <w:rStyle w:val="notranslate"/>
          <w:rFonts w:asciiTheme="majorHAnsi" w:hAnsiTheme="majorHAnsi" w:cstheme="majorHAnsi"/>
          <w:sz w:val="20"/>
          <w:szCs w:val="20"/>
        </w:rPr>
        <w:t>acioni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u përgatit në përputhje me nenin 1.2 të </w:t>
      </w:r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Udhëzimeve për Përgatitjen dhe Dorëzimin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e </w:t>
      </w:r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Aplikacionit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2D6D03C8" w14:textId="33DC85EB" w:rsidR="00B62233" w:rsidRPr="0094394B" w:rsidRDefault="00DB5135" w:rsidP="00E43EB6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70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Aplikacioni paraqitet në përputhje me nenin 2 të </w:t>
      </w:r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Udhëzimeve për Përgatitjen dhe Dorëzimin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e </w:t>
      </w:r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Aplikacionit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01263262" w14:textId="77777777" w:rsidR="00FB2903" w:rsidRDefault="00FB290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1B09E8FF" w14:textId="1C2DF5C7" w:rsidR="00B62233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DB5135">
        <w:rPr>
          <w:rStyle w:val="notranslate"/>
          <w:b/>
          <w:bCs/>
          <w:sz w:val="20"/>
          <w:szCs w:val="20"/>
        </w:rPr>
        <w:t>Vlerësimi i Propozimit të Projektit</w:t>
      </w:r>
    </w:p>
    <w:p w14:paraId="502448CE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C1540C6" w14:textId="5C80E4A7" w:rsidR="00DB5135" w:rsidRPr="00DB5135" w:rsidRDefault="00DB5135" w:rsidP="00DB5135">
      <w:pPr>
        <w:pStyle w:val="NormalWeb"/>
        <w:spacing w:before="0" w:beforeAutospacing="0" w:after="0" w:afterAutospacing="0"/>
        <w:jc w:val="both"/>
        <w:rPr>
          <w:rStyle w:val="notranslate"/>
          <w:rFonts w:asciiTheme="majorHAnsi" w:hAnsiTheme="majorHAnsi" w:cstheme="majorHAnsi"/>
          <w:sz w:val="20"/>
          <w:szCs w:val="20"/>
        </w:rPr>
      </w:pPr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Vlerësimi i propozimit të projektit do të parasheh nëse të dy komponentet (Narrativi</w:t>
      </w:r>
      <w:r w:rsidRPr="001A774B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,</w:t>
      </w:r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</w:t>
      </w:r>
      <w:r w:rsidRPr="004662FE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i</w:t>
      </w:r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zhvilluar në Formularin e Aplikimit, dhe Buxhetit) janë në përputhje me </w:t>
      </w:r>
      <w:r w:rsidRPr="00E43EB6">
        <w:rPr>
          <w:rStyle w:val="notranslate"/>
          <w:rFonts w:asciiTheme="majorHAnsi" w:hAnsiTheme="majorHAnsi" w:cstheme="majorHAnsi"/>
          <w:b/>
          <w:bCs/>
          <w:color w:val="000000"/>
          <w:sz w:val="20"/>
          <w:szCs w:val="20"/>
        </w:rPr>
        <w:t>të</w:t>
      </w:r>
      <w:r w:rsidR="0094394B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43EB6">
        <w:rPr>
          <w:rStyle w:val="notranslate"/>
          <w:rFonts w:asciiTheme="majorHAnsi" w:hAnsiTheme="majorHAnsi" w:cstheme="majorHAnsi"/>
          <w:b/>
          <w:bCs/>
          <w:color w:val="000000"/>
          <w:sz w:val="20"/>
          <w:szCs w:val="20"/>
        </w:rPr>
        <w:t>gjitha</w:t>
      </w:r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kriteret e</w:t>
      </w:r>
      <w:r w:rsidR="00081222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listuara nën komponentin përkatës më poshtë.</w:t>
      </w:r>
    </w:p>
    <w:p w14:paraId="749114F2" w14:textId="77777777" w:rsidR="002B7E54" w:rsidRDefault="002B7E54" w:rsidP="002B7E54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FA98B8C" w14:textId="4A2FFDE4" w:rsidR="002B7E54" w:rsidRPr="002B7E54" w:rsidRDefault="002B7E54" w:rsidP="002B7E54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B.1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Kriteret për Vlerësimin e Komponentëve Narrative</w:t>
      </w:r>
    </w:p>
    <w:p w14:paraId="6123898B" w14:textId="77777777" w:rsidR="00DB5135" w:rsidRPr="005B6221" w:rsidRDefault="00DB5135" w:rsidP="00FB2903">
      <w:pPr>
        <w:numPr>
          <w:ilvl w:val="0"/>
          <w:numId w:val="16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 në përputhje me qëllimin e kësaj thirrjeje për aplikime, që është për të </w:t>
      </w:r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kontribuar në adresimin e sfidave me të cilat ballafaqohen vajzat rome, ashkalike dhe egjiptiane, djemtë, gratë dhe burrat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tbl>
      <w:tblPr>
        <w:tblStyle w:val="PlainTable1"/>
        <w:tblpPr w:leftFromText="180" w:rightFromText="180" w:vertAnchor="text" w:horzAnchor="page" w:tblpX="7030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449"/>
        <w:gridCol w:w="1449"/>
      </w:tblGrid>
      <w:tr w:rsidR="00EC6E31" w14:paraId="6B218ECA" w14:textId="77777777" w:rsidTr="004B4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00"/>
          </w:tcPr>
          <w:p w14:paraId="0218635D" w14:textId="4E8B023F" w:rsidR="00EC6E31" w:rsidRPr="00F900C9" w:rsidRDefault="00EC6E31" w:rsidP="00EC6E3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bookmarkStart w:id="0" w:name="_Hlk52437189"/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highlight w:val="yellow"/>
                <w:lang w:val="en-GB"/>
              </w:rPr>
              <w:t>Arsimim</w:t>
            </w:r>
          </w:p>
        </w:tc>
        <w:tc>
          <w:tcPr>
            <w:tcW w:w="1449" w:type="dxa"/>
            <w:shd w:val="clear" w:color="auto" w:fill="FFFF00"/>
          </w:tcPr>
          <w:p w14:paraId="0FCB2933" w14:textId="7F5F6307" w:rsidR="00EC6E31" w:rsidRPr="00F900C9" w:rsidRDefault="00EC6E31" w:rsidP="00EC6E31">
            <w:pPr>
              <w:pStyle w:val="ListParagraph"/>
              <w:tabs>
                <w:tab w:val="left" w:pos="284"/>
              </w:tabs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cstheme="minorHAnsi"/>
                <w:color w:val="000000" w:themeColor="text1"/>
                <w:highlight w:val="yellow"/>
                <w:lang w:val="en-GB"/>
              </w:rPr>
              <w:t xml:space="preserve">  </w:t>
            </w:r>
            <w:r w:rsidRPr="00F900C9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highlight w:val="yellow"/>
                <w:lang w:val="en-GB"/>
              </w:rPr>
              <w:t>Shëndetësi</w:t>
            </w:r>
          </w:p>
        </w:tc>
        <w:tc>
          <w:tcPr>
            <w:tcW w:w="1449" w:type="dxa"/>
            <w:shd w:val="clear" w:color="auto" w:fill="FFFF00"/>
          </w:tcPr>
          <w:p w14:paraId="7CA899CF" w14:textId="3A890132" w:rsidR="00EC6E31" w:rsidRPr="00F900C9" w:rsidRDefault="00EC6E31" w:rsidP="00EC6E31">
            <w:pPr>
              <w:pStyle w:val="ListParagraph"/>
              <w:tabs>
                <w:tab w:val="left" w:pos="284"/>
              </w:tabs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20"/>
                <w:szCs w:val="20"/>
              </w:rPr>
              <w:t>Barazi gjinore</w:t>
            </w:r>
          </w:p>
        </w:tc>
      </w:tr>
    </w:tbl>
    <w:bookmarkEnd w:id="0"/>
    <w:p w14:paraId="2B60950E" w14:textId="3B203674" w:rsidR="00DB5135" w:rsidRPr="00F900C9" w:rsidRDefault="00DB5135" w:rsidP="00F900C9">
      <w:pPr>
        <w:numPr>
          <w:ilvl w:val="0"/>
          <w:numId w:val="16"/>
        </w:numPr>
        <w:tabs>
          <w:tab w:val="clear" w:pos="720"/>
          <w:tab w:val="num" w:pos="426"/>
        </w:tabs>
        <w:spacing w:before="100" w:after="60" w:line="276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Është zhvilluar në një ose më shumë fusha tematike </w:t>
      </w:r>
      <w:r w:rsidR="00F900C9">
        <w:rPr>
          <w:rStyle w:val="notranslate"/>
          <w:rFonts w:asciiTheme="majorHAnsi" w:hAnsiTheme="majorHAnsi" w:cstheme="majorHAnsi"/>
          <w:sz w:val="20"/>
          <w:szCs w:val="20"/>
        </w:rPr>
        <w:t>si</w:t>
      </w:r>
      <w:r w:rsidR="00EC6E31">
        <w:rPr>
          <w:rStyle w:val="notranslate"/>
          <w:rFonts w:asciiTheme="majorHAnsi" w:hAnsiTheme="majorHAnsi" w:cstheme="majorHAnsi"/>
          <w:sz w:val="20"/>
          <w:szCs w:val="20"/>
        </w:rPr>
        <w:t xml:space="preserve"> vijon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:</w:t>
      </w:r>
    </w:p>
    <w:tbl>
      <w:tblPr>
        <w:tblW w:w="893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3150"/>
        <w:gridCol w:w="1980"/>
        <w:gridCol w:w="1976"/>
      </w:tblGrid>
      <w:tr w:rsidR="00FB2903" w:rsidRPr="005B6221" w14:paraId="588F7F98" w14:textId="77777777" w:rsidTr="00EC6E31">
        <w:trPr>
          <w:trHeight w:val="253"/>
        </w:trPr>
        <w:tc>
          <w:tcPr>
            <w:tcW w:w="182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301B8" w14:textId="52A84BEC" w:rsidR="00DB5135" w:rsidRPr="005B6221" w:rsidRDefault="00EC6E31" w:rsidP="00F900C9">
            <w:pPr>
              <w:pStyle w:val="NormalWeb"/>
              <w:tabs>
                <w:tab w:val="num" w:pos="426"/>
              </w:tabs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ajorHAnsi"/>
              </w:rPr>
            </w:pPr>
            <w:r w:rsidRPr="00EC6E3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Fuqizim ekonomik</w:t>
            </w:r>
          </w:p>
        </w:tc>
        <w:tc>
          <w:tcPr>
            <w:tcW w:w="31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BC32" w14:textId="77777777" w:rsidR="00DB5135" w:rsidRPr="005B6221" w:rsidRDefault="00DB5135" w:rsidP="00F900C9">
            <w:pPr>
              <w:pStyle w:val="NormalWeb"/>
              <w:tabs>
                <w:tab w:val="num" w:pos="426"/>
              </w:tabs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Mbrojtjen e të drejtave të njeriut</w:t>
            </w:r>
          </w:p>
        </w:tc>
        <w:tc>
          <w:tcPr>
            <w:tcW w:w="198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A786" w14:textId="5B7A73FC" w:rsidR="00DB5135" w:rsidRPr="005B6221" w:rsidRDefault="00DB5135" w:rsidP="00F900C9">
            <w:pPr>
              <w:pStyle w:val="NormalWeb"/>
              <w:tabs>
                <w:tab w:val="num" w:pos="426"/>
              </w:tabs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Mbrojtjen e mjedisit</w:t>
            </w:r>
          </w:p>
        </w:tc>
        <w:tc>
          <w:tcPr>
            <w:tcW w:w="19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A5F5" w14:textId="77777777" w:rsidR="00DB5135" w:rsidRPr="005B6221" w:rsidRDefault="00DB5135" w:rsidP="00F900C9">
            <w:pPr>
              <w:pStyle w:val="NormalWeb"/>
              <w:tabs>
                <w:tab w:val="num" w:pos="426"/>
              </w:tabs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Promovimin kulturor</w:t>
            </w:r>
          </w:p>
        </w:tc>
      </w:tr>
    </w:tbl>
    <w:p w14:paraId="141ED106" w14:textId="16863E7E" w:rsidR="00DB5135" w:rsidRPr="005B6221" w:rsidRDefault="00DB5135" w:rsidP="00FB2903">
      <w:pPr>
        <w:numPr>
          <w:ilvl w:val="0"/>
          <w:numId w:val="17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 paktën 70% e përfituesve janë anëtarë të </w:t>
      </w:r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komuniteteve rom, ashkali dhe/ose egjiptian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7D458EBF" w14:textId="4DCD8E6F" w:rsidR="00DB5135" w:rsidRDefault="00DB5135" w:rsidP="00FB2903">
      <w:pPr>
        <w:numPr>
          <w:ilvl w:val="0"/>
          <w:numId w:val="17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Style w:val="notranslate"/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 planifikuar</w:t>
      </w:r>
      <w:r w:rsidRPr="005B6221">
        <w:rPr>
          <w:rFonts w:asciiTheme="majorHAnsi" w:hAnsiTheme="majorHAnsi" w:cstheme="majorHAnsi"/>
          <w:sz w:val="20"/>
          <w:szCs w:val="20"/>
        </w:rPr>
        <w:t> 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që të zbatohet në një ose më shumë lokacione në Kosovë</w:t>
      </w:r>
      <w:r w:rsidR="00AA468D" w:rsidRPr="00FB2903">
        <w:rPr>
          <w:rStyle w:val="FootnoteReference"/>
          <w:rFonts w:asciiTheme="majorHAnsi" w:hAnsiTheme="majorHAnsi" w:cstheme="majorHAnsi"/>
          <w:szCs w:val="20"/>
        </w:rPr>
        <w:footnoteReference w:id="1"/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61DE233F" w14:textId="1E49D4A7" w:rsidR="00AE11C7" w:rsidRPr="005B6221" w:rsidRDefault="00AE11C7" w:rsidP="00FB2903">
      <w:pPr>
        <w:numPr>
          <w:ilvl w:val="0"/>
          <w:numId w:val="17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AE11C7">
        <w:rPr>
          <w:rFonts w:asciiTheme="majorHAnsi" w:hAnsiTheme="majorHAnsi" w:cstheme="majorHAnsi"/>
          <w:sz w:val="20"/>
          <w:szCs w:val="20"/>
        </w:rPr>
        <w:t>Të gjitha aktivitetet e planifikuara mund të zbatohen nën kufizime, të vendosura nga qeveria e Kosovës në lidhje me CoVID-19, dhe i gjithë rekomandimi i Organizatës Botërore të Shëndetësisë mund të respektohet gjatë procesit të zbatimit.</w:t>
      </w:r>
    </w:p>
    <w:p w14:paraId="70821EBC" w14:textId="77777777" w:rsidR="00DB5135" w:rsidRPr="005B6221" w:rsidRDefault="00DB5135" w:rsidP="00FB2903">
      <w:pPr>
        <w:numPr>
          <w:ilvl w:val="0"/>
          <w:numId w:val="18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 e qartë, e kuptueshme, e zbatueshme,</w:t>
      </w:r>
      <w:r w:rsidRPr="005B6221">
        <w:rPr>
          <w:rFonts w:asciiTheme="majorHAnsi" w:hAnsiTheme="majorHAnsi" w:cstheme="majorHAnsi"/>
          <w:sz w:val="20"/>
          <w:szCs w:val="20"/>
        </w:rPr>
        <w:t> 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praktike.</w:t>
      </w:r>
    </w:p>
    <w:p w14:paraId="4AE1FB1F" w14:textId="77777777" w:rsidR="00DB5135" w:rsidRPr="005B6221" w:rsidRDefault="00DB5135" w:rsidP="00FB2903">
      <w:pPr>
        <w:numPr>
          <w:ilvl w:val="0"/>
          <w:numId w:val="18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Rezultatet janë të matshme nëpërmjet treguesve konkretë.</w:t>
      </w:r>
    </w:p>
    <w:p w14:paraId="3D84C76F" w14:textId="77777777" w:rsidR="00FB2903" w:rsidRDefault="00DB5135" w:rsidP="00FB2903">
      <w:pPr>
        <w:numPr>
          <w:ilvl w:val="0"/>
          <w:numId w:val="18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Ndikimi i pritshëm është pozitivisht i prekshëm.</w:t>
      </w:r>
    </w:p>
    <w:p w14:paraId="6E180A6F" w14:textId="29E3D2C7" w:rsidR="000C3712" w:rsidRPr="00FB2903" w:rsidRDefault="00DB5135" w:rsidP="00FB2903">
      <w:pPr>
        <w:numPr>
          <w:ilvl w:val="0"/>
          <w:numId w:val="18"/>
        </w:numPr>
        <w:tabs>
          <w:tab w:val="clear" w:pos="720"/>
          <w:tab w:val="num" w:pos="426"/>
        </w:tabs>
        <w:spacing w:before="100" w:after="60" w:line="240" w:lineRule="auto"/>
        <w:ind w:left="431" w:hanging="272"/>
        <w:jc w:val="both"/>
        <w:rPr>
          <w:rFonts w:asciiTheme="majorHAnsi" w:hAnsiTheme="majorHAnsi" w:cstheme="majorHAnsi"/>
          <w:sz w:val="20"/>
          <w:szCs w:val="20"/>
        </w:rPr>
      </w:pPr>
      <w:r w:rsidRPr="00FB2903">
        <w:rPr>
          <w:rStyle w:val="notranslate"/>
          <w:rFonts w:asciiTheme="majorHAnsi" w:hAnsiTheme="majorHAnsi" w:cstheme="majorHAnsi"/>
          <w:sz w:val="20"/>
          <w:szCs w:val="20"/>
          <w:u w:val="single"/>
        </w:rPr>
        <w:t>Nuk përfshin ndonjë</w:t>
      </w:r>
      <w:r w:rsidRPr="00FB2903">
        <w:rPr>
          <w:rStyle w:val="notranslate"/>
          <w:rFonts w:asciiTheme="majorHAnsi" w:hAnsiTheme="majorHAnsi" w:cstheme="majorHAnsi"/>
          <w:sz w:val="20"/>
          <w:szCs w:val="20"/>
        </w:rPr>
        <w:t> nga të mëposhtmet</w:t>
      </w:r>
      <w:r w:rsidR="000C3712" w:rsidRPr="00D66E18"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2"/>
      </w:r>
      <w:r w:rsidR="000C3712" w:rsidRPr="00FB290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47"/>
        <w:gridCol w:w="4173"/>
      </w:tblGrid>
      <w:tr w:rsidR="00DB5135" w14:paraId="17E678FA" w14:textId="77777777" w:rsidTr="00FA7F1F">
        <w:tc>
          <w:tcPr>
            <w:tcW w:w="5069" w:type="dxa"/>
            <w:shd w:val="clear" w:color="auto" w:fill="F2F2F2" w:themeFill="background1" w:themeFillShade="F2"/>
          </w:tcPr>
          <w:p w14:paraId="6861DDCF" w14:textId="5EFA51DF" w:rsidR="00DB5135" w:rsidRDefault="00DB5135" w:rsidP="00DB5135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lastRenderedPageBreak/>
              <w:t>Mbështetje për partitë politike, institucionet fetare ose ushtrinë;</w:t>
            </w:r>
          </w:p>
        </w:tc>
        <w:tc>
          <w:tcPr>
            <w:tcW w:w="4267" w:type="dxa"/>
            <w:shd w:val="clear" w:color="auto" w:fill="F2F2F2" w:themeFill="background1" w:themeFillShade="F2"/>
          </w:tcPr>
          <w:p w14:paraId="0D873AC6" w14:textId="4423BD04" w:rsidR="00DB5135" w:rsidRPr="00FA7F1F" w:rsidRDefault="00DB5135" w:rsidP="00DB5135">
            <w:pPr>
              <w:tabs>
                <w:tab w:val="left" w:pos="567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</w:pPr>
            <w:r>
              <w:rPr>
                <w:rStyle w:val="notranslate"/>
                <w:sz w:val="18"/>
                <w:szCs w:val="18"/>
              </w:rPr>
              <w:t>Iniciativa diskriminuese ose anti-demokratike.</w:t>
            </w:r>
          </w:p>
        </w:tc>
      </w:tr>
    </w:tbl>
    <w:p w14:paraId="38440FC8" w14:textId="08B4A4E3" w:rsidR="000C3712" w:rsidRDefault="00DB5135" w:rsidP="00FA7F1F">
      <w:pPr>
        <w:pStyle w:val="ListParagraph"/>
        <w:numPr>
          <w:ilvl w:val="0"/>
          <w:numId w:val="7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Nuk </w:t>
      </w:r>
      <w:r w:rsidRPr="005B6221">
        <w:rPr>
          <w:rStyle w:val="notranslate"/>
          <w:rFonts w:asciiTheme="majorHAnsi" w:hAnsiTheme="majorHAnsi" w:cstheme="majorHAnsi"/>
          <w:sz w:val="20"/>
          <w:szCs w:val="20"/>
          <w:u w:val="single"/>
        </w:rPr>
        <w:t>kufizohet vetëm me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si vijon</w:t>
      </w:r>
      <w:r w:rsidR="00FB2903">
        <w:rPr>
          <w:rStyle w:val="FootnoteReference"/>
          <w:rFonts w:cstheme="majorHAnsi"/>
          <w:szCs w:val="20"/>
        </w:rPr>
        <w:footnoteReference w:id="3"/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A7F1F" w14:paraId="3090553B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64EC7C16" w14:textId="6C8A3B5E" w:rsidR="00FA7F1F" w:rsidRDefault="00A45603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456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Pagimi i </w:t>
            </w:r>
            <w:r w:rsidRPr="00A45603">
              <w:rPr>
                <w:rStyle w:val="notranslate"/>
                <w:rFonts w:cstheme="majorHAnsi"/>
                <w:sz w:val="18"/>
                <w:szCs w:val="18"/>
              </w:rPr>
              <w:t>pagave</w:t>
            </w:r>
            <w:r w:rsidRPr="00A456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meditjeve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/bursave/komisioneve/tarifave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F613DE5" w14:textId="10F42CDF" w:rsidR="00FA7F1F" w:rsidRDefault="00A45603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Blerja e pahjisjeve ose</w:t>
            </w:r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material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eve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</w:tr>
      <w:tr w:rsidR="00FA7F1F" w14:paraId="62022300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2C228683" w14:textId="4449BFA5" w:rsidR="00FA7F1F" w:rsidRPr="00FB2903" w:rsidRDefault="00A45603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Kryerja e anketimeve, hulumtimeve, vlerësimeve</w:t>
            </w:r>
            <w:r w:rsidR="00FB2903">
              <w:rPr>
                <w:rStyle w:val="notranslate"/>
                <w:rFonts w:asciiTheme="majorHAnsi" w:hAnsiTheme="majorHAnsi" w:cstheme="majorHAnsi"/>
                <w:sz w:val="18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38F0D68" w14:textId="0E5C3826" w:rsidR="00FA7F1F" w:rsidRDefault="00A45603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Organizimi i nismave për ngritjen e vetëdijësimit</w:t>
            </w:r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1EA5357B" w14:textId="77777777" w:rsidR="00F76A45" w:rsidRDefault="00F76A45" w:rsidP="00F76A4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4B1093D" w14:textId="2771587A" w:rsidR="00F76A45" w:rsidRPr="00F76A45" w:rsidRDefault="00F76A45" w:rsidP="00F76A45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B.2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A45603">
        <w:rPr>
          <w:rStyle w:val="notranslate"/>
          <w:b/>
          <w:bCs/>
          <w:sz w:val="20"/>
          <w:szCs w:val="20"/>
        </w:rPr>
        <w:t>Kriteret për</w:t>
      </w:r>
      <w:r w:rsidR="00A45603">
        <w:rPr>
          <w:rStyle w:val="notranslate"/>
          <w:sz w:val="27"/>
          <w:szCs w:val="27"/>
        </w:rPr>
        <w:t> </w:t>
      </w:r>
      <w:r w:rsidR="00A45603">
        <w:rPr>
          <w:rStyle w:val="notranslate"/>
          <w:b/>
          <w:bCs/>
          <w:sz w:val="20"/>
          <w:szCs w:val="20"/>
        </w:rPr>
        <w:t>vlerësimin e komponentëve të</w:t>
      </w:r>
      <w:r w:rsidR="00A45603">
        <w:rPr>
          <w:rStyle w:val="notranslate"/>
          <w:sz w:val="27"/>
          <w:szCs w:val="27"/>
        </w:rPr>
        <w:t> </w:t>
      </w:r>
      <w:r w:rsidR="00A45603">
        <w:rPr>
          <w:rStyle w:val="notranslate"/>
          <w:b/>
          <w:bCs/>
          <w:sz w:val="20"/>
          <w:szCs w:val="20"/>
        </w:rPr>
        <w:t>buxhetit</w:t>
      </w:r>
    </w:p>
    <w:p w14:paraId="10761624" w14:textId="25D93F12" w:rsidR="00A45603" w:rsidRPr="005B6221" w:rsidRDefault="00A45603" w:rsidP="00FB2903">
      <w:pPr>
        <w:numPr>
          <w:ilvl w:val="0"/>
          <w:numId w:val="19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Raporti midis kosto</w:t>
      </w:r>
      <w:r w:rsidR="00FB2903">
        <w:rPr>
          <w:rStyle w:val="notranslate"/>
          <w:rFonts w:asciiTheme="majorHAnsi" w:hAnsiTheme="majorHAnsi" w:cstheme="majorHAnsi"/>
          <w:sz w:val="20"/>
          <w:szCs w:val="20"/>
        </w:rPr>
        <w:t>ve të vlerësuara dhe rezultateve/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ndikime</w:t>
      </w:r>
      <w:r w:rsidR="00FB2903">
        <w:rPr>
          <w:rStyle w:val="notranslate"/>
          <w:rFonts w:asciiTheme="majorHAnsi" w:hAnsiTheme="majorHAnsi" w:cstheme="majorHAnsi"/>
          <w:sz w:val="20"/>
          <w:szCs w:val="20"/>
        </w:rPr>
        <w:t>ve të pritura është i kënaqshëm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1D3C2BFC" w14:textId="77777777" w:rsidR="00A45603" w:rsidRPr="005B6221" w:rsidRDefault="00A45603" w:rsidP="00FB2903">
      <w:pPr>
        <w:numPr>
          <w:ilvl w:val="0"/>
          <w:numId w:val="19"/>
        </w:numPr>
        <w:tabs>
          <w:tab w:val="clear" w:pos="720"/>
          <w:tab w:val="num" w:pos="426"/>
        </w:tabs>
        <w:spacing w:before="100" w:after="6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Nuk përfshihet asnjë nga shpenzimet e mëposhtme të cilat janë të papranueshme:</w:t>
      </w:r>
    </w:p>
    <w:tbl>
      <w:tblPr>
        <w:tblW w:w="0" w:type="auto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27"/>
      </w:tblGrid>
      <w:tr w:rsidR="00A45603" w:rsidRPr="005B6221" w14:paraId="4844365D" w14:textId="77777777" w:rsidTr="0076089B">
        <w:tc>
          <w:tcPr>
            <w:tcW w:w="4658" w:type="dxa"/>
            <w:tcBorders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3246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 e buxhetuara drejtpërsëdrejti për individët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 përfituesit individual;</w:t>
            </w:r>
          </w:p>
        </w:tc>
        <w:tc>
          <w:tcPr>
            <w:tcW w:w="4678" w:type="dxa"/>
            <w:tcBorders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6518" w14:textId="5336602E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 për vizita studimore, bursa</w:t>
            </w:r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, pagesa për shkollim dhe/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 paga;</w:t>
            </w:r>
          </w:p>
        </w:tc>
      </w:tr>
      <w:tr w:rsidR="00A45603" w:rsidRPr="005B6221" w14:paraId="16861C39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764F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Kostot për ndërtim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 punime infrastrukturore;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9D73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 për projekte jashtë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Kosovës;</w:t>
            </w:r>
          </w:p>
        </w:tc>
      </w:tr>
      <w:tr w:rsidR="00A45603" w:rsidRPr="005B6221" w14:paraId="49673E33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6936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Kostot e drejtimit të institucioneve publike (përfshirë pagat);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006E" w14:textId="4C1F480E" w:rsidR="00A45603" w:rsidRPr="005B6221" w:rsidRDefault="00FB29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Pagat/</w:t>
            </w:r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meditjet</w:t>
            </w:r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tarifat e eksperteve nderkombetare;</w:t>
            </w:r>
          </w:p>
        </w:tc>
      </w:tr>
      <w:tr w:rsidR="00A45603" w:rsidRPr="005B6221" w14:paraId="454A60BC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F3E3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Borxhet dhe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pagesat e borxheve (interesi);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F846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Provizonet për humbjet e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detyrimeve potenciale të ardhshme;</w:t>
            </w:r>
          </w:p>
        </w:tc>
      </w:tr>
      <w:tr w:rsidR="00A45603" w:rsidRPr="005B6221" w14:paraId="4999889C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D4D4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Artikujt e financuar tashmë nga një donator tjetër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(përfshirë pagat);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9C42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 e udhëtimit për përdorim privat, ose për udhëtime në biznes ose në klasë të parë;</w:t>
            </w:r>
          </w:p>
        </w:tc>
      </w:tr>
      <w:tr w:rsidR="00A45603" w:rsidRPr="005B6221" w14:paraId="4C2C2BCD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B399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Humbjet në shkëmbim të valutës;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AFC6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Kreditë për palët e treta;</w:t>
            </w:r>
          </w:p>
        </w:tc>
      </w:tr>
      <w:tr w:rsidR="00A45603" w:rsidRPr="005B6221" w14:paraId="20C09CD8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2E77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Blerjet e tokave ose ndërtesave;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60A5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 e telefonisë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 përdorim privat;</w:t>
            </w:r>
          </w:p>
        </w:tc>
      </w:tr>
      <w:tr w:rsidR="00A45603" w:rsidRPr="005B6221" w14:paraId="7B5FA8DB" w14:textId="77777777" w:rsidTr="0076089B">
        <w:tc>
          <w:tcPr>
            <w:tcW w:w="9336" w:type="dxa"/>
            <w:gridSpan w:val="2"/>
            <w:tcBorders>
              <w:top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CA89" w14:textId="6827F1F5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Pagesa shtesë, siç janë pagesat e vendeve për takim, ose ekuivalentet për të financuar</w:t>
            </w:r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pagesat për stafin pjesëmarrës/folësit e ftuar/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pjesëmarrësit e punëtorive.</w:t>
            </w:r>
          </w:p>
        </w:tc>
      </w:tr>
    </w:tbl>
    <w:p w14:paraId="1FDDD784" w14:textId="77777777" w:rsidR="00A45603" w:rsidRPr="005B6221" w:rsidRDefault="00A45603" w:rsidP="00FB2903">
      <w:pPr>
        <w:numPr>
          <w:ilvl w:val="0"/>
          <w:numId w:val="20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Të paktën 60% janë ndarë për aktivitete, dhe jo më shumë se 40% i ndahen stafit dhe shpenzimeve operative.</w:t>
      </w:r>
    </w:p>
    <w:p w14:paraId="295564C8" w14:textId="77777777" w:rsidR="00463255" w:rsidRDefault="00463255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C194C27" w14:textId="59D8D07E" w:rsidR="00EF6FE5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C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A45603">
        <w:rPr>
          <w:b/>
          <w:bCs/>
          <w:sz w:val="20"/>
          <w:szCs w:val="20"/>
        </w:rPr>
        <w:t>V</w:t>
      </w:r>
      <w:r w:rsidR="00A45603">
        <w:rPr>
          <w:rStyle w:val="notranslate"/>
          <w:b/>
          <w:bCs/>
          <w:sz w:val="20"/>
          <w:szCs w:val="20"/>
        </w:rPr>
        <w:t>lerësim</w:t>
      </w:r>
      <w:r w:rsidR="00A45603">
        <w:rPr>
          <w:b/>
          <w:bCs/>
          <w:sz w:val="20"/>
          <w:szCs w:val="20"/>
        </w:rPr>
        <w:t xml:space="preserve"> i </w:t>
      </w:r>
      <w:r w:rsidR="00A45603">
        <w:rPr>
          <w:rStyle w:val="notranslate"/>
          <w:b/>
          <w:bCs/>
          <w:sz w:val="20"/>
          <w:szCs w:val="20"/>
        </w:rPr>
        <w:t>Organizatës Aplikuese</w:t>
      </w:r>
    </w:p>
    <w:p w14:paraId="5E7A8FD6" w14:textId="77777777" w:rsidR="0032360D" w:rsidRDefault="0032360D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5A6122A" w14:textId="5F7A396A" w:rsidR="00A45603" w:rsidRPr="005B6221" w:rsidRDefault="00A45603" w:rsidP="00A4560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Faza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C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do të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sjellë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shqyrtimin e informatave shtesë që do të kërkohen nga DRC-ja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si një hap i dytë,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 mënyrë që të përcaktohet se:</w:t>
      </w:r>
    </w:p>
    <w:p w14:paraId="6F1399F7" w14:textId="761EAB3B" w:rsidR="00A45603" w:rsidRPr="005B6221" w:rsidRDefault="00A45603" w:rsidP="00FB2903">
      <w:pPr>
        <w:numPr>
          <w:ilvl w:val="0"/>
          <w:numId w:val="21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Organizata aplikuese dhe përfaqësuesi i saj i autorizuar ligjërisht janë të regjistruar në Ministrinë e Administratës Publike / Departamenti për Regjis</w:t>
      </w:r>
      <w:r w:rsidR="00FB2903">
        <w:rPr>
          <w:rStyle w:val="notranslate"/>
          <w:rFonts w:asciiTheme="majorHAnsi" w:hAnsiTheme="majorHAnsi" w:cstheme="majorHAnsi"/>
          <w:sz w:val="20"/>
          <w:szCs w:val="20"/>
        </w:rPr>
        <w:t>trimin dhe Ndërlidhjen e OJQ-ve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5E068839" w14:textId="77777777" w:rsidR="00A45603" w:rsidRPr="005B6221" w:rsidRDefault="00A45603" w:rsidP="00FB2903">
      <w:pPr>
        <w:numPr>
          <w:ilvl w:val="0"/>
          <w:numId w:val="21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Organizata aplikuese është e regjistruar në Administratën Tatimore dhe ka</w:t>
      </w:r>
      <w:r w:rsidRPr="005B6221">
        <w:rPr>
          <w:rFonts w:asciiTheme="majorHAnsi" w:hAnsiTheme="majorHAnsi" w:cstheme="majorHAnsi"/>
          <w:sz w:val="20"/>
          <w:szCs w:val="20"/>
        </w:rPr>
        <w:t> 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nuk ka detyrime ndaj saj.</w:t>
      </w:r>
    </w:p>
    <w:p w14:paraId="3BA4D756" w14:textId="23410BC8" w:rsidR="00A45603" w:rsidRPr="005B6221" w:rsidRDefault="00FB2903" w:rsidP="00FB2903">
      <w:pPr>
        <w:numPr>
          <w:ilvl w:val="0"/>
          <w:numId w:val="21"/>
        </w:numPr>
        <w:tabs>
          <w:tab w:val="clear" w:pos="720"/>
          <w:tab w:val="num" w:pos="426"/>
        </w:tabs>
        <w:spacing w:before="100" w:after="6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Style w:val="notranslate"/>
          <w:rFonts w:asciiTheme="majorHAnsi" w:hAnsiTheme="majorHAnsi" w:cstheme="majorHAnsi"/>
          <w:sz w:val="20"/>
          <w:szCs w:val="20"/>
        </w:rPr>
        <w:t>Organizata a</w:t>
      </w:r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plikuese dhe përfaqësuesi i saj i autorizuar ligjërisht nuk janë te listuara në ndonjë nga këto si vijojnë:</w:t>
      </w:r>
    </w:p>
    <w:tbl>
      <w:tblPr>
        <w:tblW w:w="0" w:type="auto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616"/>
      </w:tblGrid>
      <w:tr w:rsidR="00A45603" w:rsidRPr="005B6221" w14:paraId="4283B788" w14:textId="77777777" w:rsidTr="0076089B">
        <w:tc>
          <w:tcPr>
            <w:tcW w:w="4810" w:type="dxa"/>
            <w:tcBorders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5D5E9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Sistemi i qeverisë amerikane për menaxhimin e çmimeve</w:t>
            </w:r>
          </w:p>
        </w:tc>
        <w:tc>
          <w:tcPr>
            <w:tcW w:w="4810" w:type="dxa"/>
            <w:tcBorders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130D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Lista e Shteteve të Thesarit të Shteteve të Bashkuara të Thesarit dhe Personave të Bllokuar</w:t>
            </w:r>
          </w:p>
        </w:tc>
      </w:tr>
      <w:tr w:rsidR="00A45603" w:rsidRPr="005B6221" w14:paraId="7584D828" w14:textId="77777777" w:rsidTr="0076089B"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C621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Lista e konsoliduar e sanksioneve</w:t>
            </w:r>
          </w:p>
        </w:tc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C524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Lista e konsoliduar e Qëllimeve të Internetit</w:t>
            </w:r>
          </w:p>
        </w:tc>
      </w:tr>
      <w:tr w:rsidR="00A45603" w:rsidRPr="005B6221" w14:paraId="31B0597F" w14:textId="77777777" w:rsidTr="0076089B"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6DD2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Grupe ose organizata terroriste të përshkruara</w:t>
            </w:r>
          </w:p>
        </w:tc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CB5C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Organizatat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dhe Individët e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Përcaktuar të Thesarit të HM</w:t>
            </w:r>
          </w:p>
        </w:tc>
      </w:tr>
      <w:tr w:rsidR="00A45603" w:rsidRPr="005B6221" w14:paraId="3ABBD730" w14:textId="77777777" w:rsidTr="0076089B"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2524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Lista e firmave dhe individëve të papranueshëm</w:t>
            </w:r>
          </w:p>
        </w:tc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C545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Qendra e Kërkimit për Rastet e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Rëndësishme të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Korrupsionit</w:t>
            </w:r>
          </w:p>
        </w:tc>
      </w:tr>
      <w:tr w:rsidR="00A45603" w:rsidRPr="005B6221" w14:paraId="06363EB9" w14:textId="77777777" w:rsidTr="0076089B">
        <w:tc>
          <w:tcPr>
            <w:tcW w:w="4810" w:type="dxa"/>
            <w:tcBorders>
              <w:top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0E39" w14:textId="379E6546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Këshilli i Sigurimit i OKB - ISIL (Da'esh) dhe Lista e Sanksioneve të Al-Kaidës</w:t>
            </w:r>
          </w:p>
        </w:tc>
        <w:tc>
          <w:tcPr>
            <w:tcW w:w="4810" w:type="dxa"/>
            <w:tcBorders>
              <w:top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8CFB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Lista e sanksioneve të Këshillit të Sigurimit të Kombeve të Bashkuara</w:t>
            </w:r>
          </w:p>
        </w:tc>
      </w:tr>
    </w:tbl>
    <w:p w14:paraId="6A10E1E6" w14:textId="77777777" w:rsidR="00A45603" w:rsidRPr="005B6221" w:rsidRDefault="00A45603" w:rsidP="00FB2903">
      <w:pPr>
        <w:numPr>
          <w:ilvl w:val="0"/>
          <w:numId w:val="22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Organizata aplikuese ka kapacitetin për të zbatuar projektin e propozuar në përputhje me DRC-në dhe kërkesat e donatorit.</w:t>
      </w:r>
    </w:p>
    <w:p w14:paraId="24B71238" w14:textId="77777777" w:rsidR="00A45603" w:rsidRPr="005B6221" w:rsidRDefault="00A45603" w:rsidP="00FB2903">
      <w:pPr>
        <w:numPr>
          <w:ilvl w:val="0"/>
          <w:numId w:val="22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Organizata aplikuese është në përputhje me legjislacionin shtesë, specifik për veprimtaritë që ata dëshirojnë për të zbatuar (për shembull në rastin e mbështetjes arsimore jashtë sistemit shkollor, me Udhëzimin Administrativ 12/2017 mbi </w:t>
      </w:r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Themelimin dhe Funksionimin e Qendrave Mësimore).</w:t>
      </w:r>
    </w:p>
    <w:p w14:paraId="0618B012" w14:textId="18C5C831" w:rsidR="006A36E1" w:rsidRPr="00FB2903" w:rsidRDefault="00A45603" w:rsidP="00FB2903">
      <w:pPr>
        <w:numPr>
          <w:ilvl w:val="0"/>
          <w:numId w:val="22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lastRenderedPageBreak/>
        <w:t>Organizata aplikuese ka ngritur kornizën e bashkëpunimit dhe koordinimit me institucionet dhe / ose palët e tjera, e cila është e nevojshme për zbatimin e projektit të propozuar.</w:t>
      </w:r>
    </w:p>
    <w:sectPr w:rsidR="006A36E1" w:rsidRPr="00FB2903" w:rsidSect="008E4121"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C12F7" w14:textId="77777777" w:rsidR="00D82E4F" w:rsidRDefault="00D82E4F" w:rsidP="00462960">
      <w:pPr>
        <w:spacing w:after="0" w:line="240" w:lineRule="auto"/>
      </w:pPr>
      <w:r>
        <w:separator/>
      </w:r>
    </w:p>
  </w:endnote>
  <w:endnote w:type="continuationSeparator" w:id="0">
    <w:p w14:paraId="3AC771A1" w14:textId="77777777" w:rsidR="00D82E4F" w:rsidRDefault="00D82E4F" w:rsidP="004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4D6F" w14:textId="77777777" w:rsidR="00AD553A" w:rsidRDefault="00AD553A" w:rsidP="006B3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75F36" w14:textId="77777777" w:rsidR="00AD553A" w:rsidRDefault="00AD553A" w:rsidP="009F4F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5AE2" w14:textId="77777777" w:rsidR="00AD553A" w:rsidRPr="009F4F26" w:rsidRDefault="00AD553A" w:rsidP="006B31CD">
    <w:pPr>
      <w:pStyle w:val="Footer"/>
      <w:framePr w:wrap="around" w:vAnchor="text" w:hAnchor="margin" w:xAlign="right" w:y="1"/>
      <w:rPr>
        <w:rStyle w:val="PageNumber"/>
        <w:sz w:val="20"/>
      </w:rPr>
    </w:pPr>
    <w:r w:rsidRPr="009F4F26">
      <w:rPr>
        <w:rStyle w:val="PageNumber"/>
        <w:sz w:val="20"/>
      </w:rPr>
      <w:fldChar w:fldCharType="begin"/>
    </w:r>
    <w:r w:rsidRPr="009F4F26">
      <w:rPr>
        <w:rStyle w:val="PageNumber"/>
        <w:sz w:val="20"/>
      </w:rPr>
      <w:instrText xml:space="preserve">PAGE  </w:instrText>
    </w:r>
    <w:r w:rsidRPr="009F4F26">
      <w:rPr>
        <w:rStyle w:val="PageNumber"/>
        <w:sz w:val="20"/>
      </w:rPr>
      <w:fldChar w:fldCharType="separate"/>
    </w:r>
    <w:r w:rsidR="0097598D">
      <w:rPr>
        <w:rStyle w:val="PageNumber"/>
        <w:noProof/>
        <w:sz w:val="20"/>
      </w:rPr>
      <w:t>1</w:t>
    </w:r>
    <w:r w:rsidRPr="009F4F26">
      <w:rPr>
        <w:rStyle w:val="PageNumber"/>
        <w:sz w:val="20"/>
      </w:rPr>
      <w:fldChar w:fldCharType="end"/>
    </w:r>
  </w:p>
  <w:p w14:paraId="7AD18A02" w14:textId="77777777" w:rsidR="00AD553A" w:rsidRDefault="00AD553A" w:rsidP="00AE1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C86E" w14:textId="77777777" w:rsidR="00D82E4F" w:rsidRDefault="00D82E4F" w:rsidP="00462960">
      <w:pPr>
        <w:spacing w:after="0" w:line="240" w:lineRule="auto"/>
      </w:pPr>
      <w:r>
        <w:separator/>
      </w:r>
    </w:p>
  </w:footnote>
  <w:footnote w:type="continuationSeparator" w:id="0">
    <w:p w14:paraId="05452256" w14:textId="77777777" w:rsidR="00D82E4F" w:rsidRDefault="00D82E4F" w:rsidP="00462960">
      <w:pPr>
        <w:spacing w:after="0" w:line="240" w:lineRule="auto"/>
      </w:pPr>
      <w:r>
        <w:continuationSeparator/>
      </w:r>
    </w:p>
  </w:footnote>
  <w:footnote w:id="1">
    <w:p w14:paraId="7D00B860" w14:textId="538B296C" w:rsidR="00AA468D" w:rsidRPr="00AA468D" w:rsidRDefault="00AA468D" w:rsidP="00AA468D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AA468D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r w:rsidRPr="00AA468D">
        <w:rPr>
          <w:rFonts w:asciiTheme="majorHAnsi" w:hAnsiTheme="majorHAnsi"/>
          <w:sz w:val="18"/>
        </w:rPr>
        <w:t>Keni</w:t>
      </w:r>
      <w:r>
        <w:rPr>
          <w:rFonts w:asciiTheme="majorHAnsi" w:hAnsiTheme="majorHAnsi"/>
          <w:sz w:val="18"/>
        </w:rPr>
        <w:t xml:space="preserve"> parasyshë se aktivitetet që synojnë Mitrovicën Jugore janë lëndë e thirrjes së veçantë për aplikim dhe nuk do të konsiderohen të pranueshme.</w:t>
      </w:r>
    </w:p>
  </w:footnote>
  <w:footnote w:id="2">
    <w:p w14:paraId="64F60CFB" w14:textId="606A63F9" w:rsidR="00AD553A" w:rsidRPr="00FB2903" w:rsidRDefault="00AD553A" w:rsidP="00FB2903">
      <w:pPr>
        <w:pStyle w:val="Footer"/>
        <w:tabs>
          <w:tab w:val="left" w:pos="284"/>
        </w:tabs>
        <w:ind w:left="284" w:right="360" w:hanging="284"/>
        <w:rPr>
          <w:rFonts w:asciiTheme="majorHAnsi" w:hAnsiTheme="majorHAnsi" w:cstheme="majorHAnsi"/>
          <w:sz w:val="18"/>
          <w:szCs w:val="18"/>
        </w:rPr>
      </w:pPr>
      <w:r w:rsidRPr="000C3712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r w:rsidR="00FA003F">
        <w:rPr>
          <w:rFonts w:asciiTheme="majorHAnsi" w:hAnsiTheme="majorHAnsi" w:cstheme="majorHAnsi"/>
          <w:sz w:val="18"/>
          <w:szCs w:val="18"/>
        </w:rPr>
        <w:t xml:space="preserve">Prania e </w:t>
      </w:r>
      <w:r w:rsidR="00FA003F" w:rsidRPr="00FB2903">
        <w:rPr>
          <w:rFonts w:asciiTheme="majorHAnsi" w:hAnsiTheme="majorHAnsi" w:cstheme="majorHAnsi"/>
          <w:b/>
          <w:sz w:val="18"/>
          <w:szCs w:val="18"/>
        </w:rPr>
        <w:t>ndonjërës</w:t>
      </w:r>
      <w:r w:rsidR="00FA003F">
        <w:rPr>
          <w:rFonts w:asciiTheme="majorHAnsi" w:hAnsiTheme="majorHAnsi" w:cstheme="majorHAnsi"/>
          <w:sz w:val="18"/>
          <w:szCs w:val="18"/>
        </w:rPr>
        <w:t xml:space="preserve"> nga pikat në këtë listë do ta përjashtojë propozimin e projektit nga mundësia për tu financuar.</w:t>
      </w:r>
    </w:p>
  </w:footnote>
  <w:footnote w:id="3">
    <w:p w14:paraId="15265D8D" w14:textId="5685A727" w:rsidR="00FB2903" w:rsidRPr="00FB2903" w:rsidRDefault="00FB2903" w:rsidP="00FB2903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FB2903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r w:rsidRPr="00FA003F">
        <w:rPr>
          <w:rFonts w:cstheme="majorHAnsi"/>
          <w:sz w:val="18"/>
          <w:szCs w:val="18"/>
        </w:rPr>
        <w:t>Projekt</w:t>
      </w:r>
      <w:r w:rsidRPr="00FA003F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propozimet mund të përfshijnë pikat në këtë listë, por ato nuk mund të kufizohen në 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E21D" w14:textId="5353736B" w:rsidR="0094394B" w:rsidRDefault="00943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DAF"/>
    <w:multiLevelType w:val="multilevel"/>
    <w:tmpl w:val="EDA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906E4"/>
    <w:multiLevelType w:val="multilevel"/>
    <w:tmpl w:val="310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2766D"/>
    <w:multiLevelType w:val="hybridMultilevel"/>
    <w:tmpl w:val="9A6A550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15A"/>
    <w:multiLevelType w:val="hybridMultilevel"/>
    <w:tmpl w:val="97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5857"/>
    <w:multiLevelType w:val="hybridMultilevel"/>
    <w:tmpl w:val="776A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41EE"/>
    <w:multiLevelType w:val="multilevel"/>
    <w:tmpl w:val="04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F02115"/>
    <w:multiLevelType w:val="hybridMultilevel"/>
    <w:tmpl w:val="93FA68E4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8" w15:restartNumberingAfterBreak="0">
    <w:nsid w:val="3EA6360A"/>
    <w:multiLevelType w:val="hybridMultilevel"/>
    <w:tmpl w:val="CA4EA76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6F2D"/>
    <w:multiLevelType w:val="hybridMultilevel"/>
    <w:tmpl w:val="DE86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B1B00"/>
    <w:multiLevelType w:val="hybridMultilevel"/>
    <w:tmpl w:val="E558FF30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26011F"/>
    <w:multiLevelType w:val="multilevel"/>
    <w:tmpl w:val="6500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FF5C67"/>
    <w:multiLevelType w:val="multilevel"/>
    <w:tmpl w:val="324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5519E"/>
    <w:multiLevelType w:val="hybridMultilevel"/>
    <w:tmpl w:val="ADE2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7173F"/>
    <w:multiLevelType w:val="multilevel"/>
    <w:tmpl w:val="1C9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F42182"/>
    <w:multiLevelType w:val="hybridMultilevel"/>
    <w:tmpl w:val="6B74B5D4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31F1"/>
    <w:multiLevelType w:val="single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B478E7"/>
    <w:multiLevelType w:val="multilevel"/>
    <w:tmpl w:val="2B1E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EE0248"/>
    <w:multiLevelType w:val="hybridMultilevel"/>
    <w:tmpl w:val="621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6344C"/>
    <w:multiLevelType w:val="hybridMultilevel"/>
    <w:tmpl w:val="7F266DA2"/>
    <w:lvl w:ilvl="0" w:tplc="7BDC103C">
      <w:start w:val="4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F0E9B"/>
    <w:multiLevelType w:val="hybridMultilevel"/>
    <w:tmpl w:val="1B98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61983"/>
    <w:multiLevelType w:val="multilevel"/>
    <w:tmpl w:val="D9A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>
      <w:startOverride w:val="1"/>
    </w:lvlOverride>
  </w:num>
  <w:num w:numId="2">
    <w:abstractNumId w:val="7"/>
  </w:num>
  <w:num w:numId="3">
    <w:abstractNumId w:val="19"/>
  </w:num>
  <w:num w:numId="4">
    <w:abstractNumId w:val="3"/>
  </w:num>
  <w:num w:numId="5">
    <w:abstractNumId w:val="6"/>
  </w:num>
  <w:num w:numId="6">
    <w:abstractNumId w:val="18"/>
  </w:num>
  <w:num w:numId="7">
    <w:abstractNumId w:val="13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20"/>
  </w:num>
  <w:num w:numId="13">
    <w:abstractNumId w:val="9"/>
  </w:num>
  <w:num w:numId="14">
    <w:abstractNumId w:val="8"/>
  </w:num>
  <w:num w:numId="15">
    <w:abstractNumId w:val="14"/>
  </w:num>
  <w:num w:numId="16">
    <w:abstractNumId w:val="1"/>
  </w:num>
  <w:num w:numId="17">
    <w:abstractNumId w:val="21"/>
  </w:num>
  <w:num w:numId="18">
    <w:abstractNumId w:val="5"/>
  </w:num>
  <w:num w:numId="19">
    <w:abstractNumId w:val="12"/>
  </w:num>
  <w:num w:numId="20">
    <w:abstractNumId w:val="11"/>
  </w:num>
  <w:num w:numId="21">
    <w:abstractNumId w:val="17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24"/>
    <w:rsid w:val="000028BA"/>
    <w:rsid w:val="00006ED8"/>
    <w:rsid w:val="00012C40"/>
    <w:rsid w:val="00014222"/>
    <w:rsid w:val="0003477D"/>
    <w:rsid w:val="0003631C"/>
    <w:rsid w:val="0004337B"/>
    <w:rsid w:val="00047E52"/>
    <w:rsid w:val="00052DED"/>
    <w:rsid w:val="0006201A"/>
    <w:rsid w:val="00070A62"/>
    <w:rsid w:val="00081222"/>
    <w:rsid w:val="0008473E"/>
    <w:rsid w:val="000907B1"/>
    <w:rsid w:val="000935E3"/>
    <w:rsid w:val="000A2D81"/>
    <w:rsid w:val="000B0E16"/>
    <w:rsid w:val="000C3712"/>
    <w:rsid w:val="000D379B"/>
    <w:rsid w:val="000D6365"/>
    <w:rsid w:val="000E3ED0"/>
    <w:rsid w:val="000F3CB8"/>
    <w:rsid w:val="000F50B2"/>
    <w:rsid w:val="000F6DFA"/>
    <w:rsid w:val="00105279"/>
    <w:rsid w:val="001105A8"/>
    <w:rsid w:val="0011664B"/>
    <w:rsid w:val="00116730"/>
    <w:rsid w:val="001261F9"/>
    <w:rsid w:val="00131E4F"/>
    <w:rsid w:val="00151E75"/>
    <w:rsid w:val="00155D29"/>
    <w:rsid w:val="00164EDD"/>
    <w:rsid w:val="001706FD"/>
    <w:rsid w:val="00175EA3"/>
    <w:rsid w:val="001820F1"/>
    <w:rsid w:val="001872AF"/>
    <w:rsid w:val="001A2B8F"/>
    <w:rsid w:val="001A55DB"/>
    <w:rsid w:val="001A5E61"/>
    <w:rsid w:val="001B095D"/>
    <w:rsid w:val="001B0CDC"/>
    <w:rsid w:val="001B3535"/>
    <w:rsid w:val="001B4F9E"/>
    <w:rsid w:val="001B7B45"/>
    <w:rsid w:val="001C144B"/>
    <w:rsid w:val="001C413A"/>
    <w:rsid w:val="001C558B"/>
    <w:rsid w:val="001C6FBB"/>
    <w:rsid w:val="001D095E"/>
    <w:rsid w:val="001D0C8F"/>
    <w:rsid w:val="001E3DF4"/>
    <w:rsid w:val="001E7B23"/>
    <w:rsid w:val="00202F74"/>
    <w:rsid w:val="00213C4B"/>
    <w:rsid w:val="00224746"/>
    <w:rsid w:val="00225F51"/>
    <w:rsid w:val="0023402B"/>
    <w:rsid w:val="00236317"/>
    <w:rsid w:val="002409B3"/>
    <w:rsid w:val="00241A55"/>
    <w:rsid w:val="002426B3"/>
    <w:rsid w:val="00246F52"/>
    <w:rsid w:val="00247CB4"/>
    <w:rsid w:val="002624A9"/>
    <w:rsid w:val="002722F1"/>
    <w:rsid w:val="00272389"/>
    <w:rsid w:val="00272C78"/>
    <w:rsid w:val="00272D22"/>
    <w:rsid w:val="00273520"/>
    <w:rsid w:val="00282C74"/>
    <w:rsid w:val="002948AD"/>
    <w:rsid w:val="0029708E"/>
    <w:rsid w:val="0029778C"/>
    <w:rsid w:val="002A0308"/>
    <w:rsid w:val="002A50AD"/>
    <w:rsid w:val="002B7E54"/>
    <w:rsid w:val="002C2B22"/>
    <w:rsid w:val="002D729E"/>
    <w:rsid w:val="002E0A28"/>
    <w:rsid w:val="002E4D48"/>
    <w:rsid w:val="002E7481"/>
    <w:rsid w:val="002F0359"/>
    <w:rsid w:val="002F38D7"/>
    <w:rsid w:val="003000B0"/>
    <w:rsid w:val="00306213"/>
    <w:rsid w:val="0030688F"/>
    <w:rsid w:val="003101F1"/>
    <w:rsid w:val="0031223B"/>
    <w:rsid w:val="003146E4"/>
    <w:rsid w:val="0032360D"/>
    <w:rsid w:val="0032776A"/>
    <w:rsid w:val="003327BB"/>
    <w:rsid w:val="00334581"/>
    <w:rsid w:val="00335AC5"/>
    <w:rsid w:val="003417C2"/>
    <w:rsid w:val="00346CBB"/>
    <w:rsid w:val="00351CD6"/>
    <w:rsid w:val="00355F6C"/>
    <w:rsid w:val="00371DF9"/>
    <w:rsid w:val="00375FC2"/>
    <w:rsid w:val="00382AEA"/>
    <w:rsid w:val="00383C66"/>
    <w:rsid w:val="00390630"/>
    <w:rsid w:val="003949FA"/>
    <w:rsid w:val="0039616B"/>
    <w:rsid w:val="003A04CD"/>
    <w:rsid w:val="003B3015"/>
    <w:rsid w:val="003B33D0"/>
    <w:rsid w:val="003B6C76"/>
    <w:rsid w:val="003B7FBF"/>
    <w:rsid w:val="003C0B5F"/>
    <w:rsid w:val="003E483E"/>
    <w:rsid w:val="003E4958"/>
    <w:rsid w:val="003F32D2"/>
    <w:rsid w:val="003F7C2C"/>
    <w:rsid w:val="00405B5A"/>
    <w:rsid w:val="00413A47"/>
    <w:rsid w:val="004309FA"/>
    <w:rsid w:val="0043134F"/>
    <w:rsid w:val="00436EA2"/>
    <w:rsid w:val="00446383"/>
    <w:rsid w:val="00452350"/>
    <w:rsid w:val="00454324"/>
    <w:rsid w:val="00457431"/>
    <w:rsid w:val="00460B1F"/>
    <w:rsid w:val="00462960"/>
    <w:rsid w:val="00463255"/>
    <w:rsid w:val="004669F0"/>
    <w:rsid w:val="0047759C"/>
    <w:rsid w:val="00477C77"/>
    <w:rsid w:val="00482A7A"/>
    <w:rsid w:val="00486A17"/>
    <w:rsid w:val="00486EB3"/>
    <w:rsid w:val="00497441"/>
    <w:rsid w:val="004A4CC8"/>
    <w:rsid w:val="004B178D"/>
    <w:rsid w:val="004B5C02"/>
    <w:rsid w:val="004C3B12"/>
    <w:rsid w:val="004C603E"/>
    <w:rsid w:val="004D3241"/>
    <w:rsid w:val="004F18EC"/>
    <w:rsid w:val="00503D4B"/>
    <w:rsid w:val="0051421F"/>
    <w:rsid w:val="00514FA1"/>
    <w:rsid w:val="00516945"/>
    <w:rsid w:val="00517AD1"/>
    <w:rsid w:val="00524334"/>
    <w:rsid w:val="0053301E"/>
    <w:rsid w:val="005338AB"/>
    <w:rsid w:val="0055299B"/>
    <w:rsid w:val="00554B2E"/>
    <w:rsid w:val="00555357"/>
    <w:rsid w:val="0055637D"/>
    <w:rsid w:val="00563EDF"/>
    <w:rsid w:val="00564ADB"/>
    <w:rsid w:val="00570A05"/>
    <w:rsid w:val="00571E0C"/>
    <w:rsid w:val="0058173D"/>
    <w:rsid w:val="00591D9D"/>
    <w:rsid w:val="005A0F86"/>
    <w:rsid w:val="005B1861"/>
    <w:rsid w:val="005C41D3"/>
    <w:rsid w:val="005C4FDE"/>
    <w:rsid w:val="005C52AF"/>
    <w:rsid w:val="005E0560"/>
    <w:rsid w:val="005E2647"/>
    <w:rsid w:val="005E3BA8"/>
    <w:rsid w:val="005F0A35"/>
    <w:rsid w:val="005F6B73"/>
    <w:rsid w:val="005F7A03"/>
    <w:rsid w:val="00603424"/>
    <w:rsid w:val="00603992"/>
    <w:rsid w:val="00606E01"/>
    <w:rsid w:val="00612CE5"/>
    <w:rsid w:val="0061382C"/>
    <w:rsid w:val="00613D10"/>
    <w:rsid w:val="00616121"/>
    <w:rsid w:val="00635EF2"/>
    <w:rsid w:val="006400C3"/>
    <w:rsid w:val="00640D04"/>
    <w:rsid w:val="006431A8"/>
    <w:rsid w:val="00643A9C"/>
    <w:rsid w:val="006473AD"/>
    <w:rsid w:val="00654EDD"/>
    <w:rsid w:val="00663AA6"/>
    <w:rsid w:val="006711B4"/>
    <w:rsid w:val="006732E1"/>
    <w:rsid w:val="00677ABE"/>
    <w:rsid w:val="00677B86"/>
    <w:rsid w:val="00680A54"/>
    <w:rsid w:val="00681F74"/>
    <w:rsid w:val="00682DC4"/>
    <w:rsid w:val="006830D5"/>
    <w:rsid w:val="0069064E"/>
    <w:rsid w:val="006A36E1"/>
    <w:rsid w:val="006B31CD"/>
    <w:rsid w:val="006C222B"/>
    <w:rsid w:val="006C2BB2"/>
    <w:rsid w:val="006C6FEE"/>
    <w:rsid w:val="006D0383"/>
    <w:rsid w:val="006D3EF7"/>
    <w:rsid w:val="006E32F3"/>
    <w:rsid w:val="006F067E"/>
    <w:rsid w:val="006F08DB"/>
    <w:rsid w:val="006F6293"/>
    <w:rsid w:val="007039B0"/>
    <w:rsid w:val="007160FA"/>
    <w:rsid w:val="0072402D"/>
    <w:rsid w:val="00724317"/>
    <w:rsid w:val="00727ABF"/>
    <w:rsid w:val="00735760"/>
    <w:rsid w:val="00741978"/>
    <w:rsid w:val="007420F1"/>
    <w:rsid w:val="00744D35"/>
    <w:rsid w:val="007517B3"/>
    <w:rsid w:val="00751AFA"/>
    <w:rsid w:val="00754AFF"/>
    <w:rsid w:val="00754B7C"/>
    <w:rsid w:val="00763CE1"/>
    <w:rsid w:val="00767B18"/>
    <w:rsid w:val="00770EAE"/>
    <w:rsid w:val="00771016"/>
    <w:rsid w:val="00777137"/>
    <w:rsid w:val="00783120"/>
    <w:rsid w:val="00790A5C"/>
    <w:rsid w:val="007A039D"/>
    <w:rsid w:val="007C6AEA"/>
    <w:rsid w:val="007D4ADE"/>
    <w:rsid w:val="00805367"/>
    <w:rsid w:val="00813FA8"/>
    <w:rsid w:val="008142D0"/>
    <w:rsid w:val="00814CB0"/>
    <w:rsid w:val="00817F82"/>
    <w:rsid w:val="00826CA9"/>
    <w:rsid w:val="00847E6C"/>
    <w:rsid w:val="00850432"/>
    <w:rsid w:val="00853037"/>
    <w:rsid w:val="00866DE5"/>
    <w:rsid w:val="008725F0"/>
    <w:rsid w:val="00881084"/>
    <w:rsid w:val="00887EAC"/>
    <w:rsid w:val="008939B3"/>
    <w:rsid w:val="008B6AF2"/>
    <w:rsid w:val="008C61C5"/>
    <w:rsid w:val="008D2000"/>
    <w:rsid w:val="008E07C3"/>
    <w:rsid w:val="008E4121"/>
    <w:rsid w:val="008E4A24"/>
    <w:rsid w:val="008F332E"/>
    <w:rsid w:val="00900419"/>
    <w:rsid w:val="00900A0B"/>
    <w:rsid w:val="0090287E"/>
    <w:rsid w:val="00907C5C"/>
    <w:rsid w:val="009122AE"/>
    <w:rsid w:val="009171F3"/>
    <w:rsid w:val="00923350"/>
    <w:rsid w:val="00932C7F"/>
    <w:rsid w:val="009352E1"/>
    <w:rsid w:val="0094166E"/>
    <w:rsid w:val="00941942"/>
    <w:rsid w:val="0094394B"/>
    <w:rsid w:val="0095304F"/>
    <w:rsid w:val="00960A16"/>
    <w:rsid w:val="00961FF7"/>
    <w:rsid w:val="00971C2D"/>
    <w:rsid w:val="0097598D"/>
    <w:rsid w:val="00987230"/>
    <w:rsid w:val="009928F0"/>
    <w:rsid w:val="009B1B3D"/>
    <w:rsid w:val="009B6A00"/>
    <w:rsid w:val="009C0362"/>
    <w:rsid w:val="009C03B4"/>
    <w:rsid w:val="009C30D0"/>
    <w:rsid w:val="009C7297"/>
    <w:rsid w:val="009C7439"/>
    <w:rsid w:val="009C7C25"/>
    <w:rsid w:val="009D2BDF"/>
    <w:rsid w:val="009E065B"/>
    <w:rsid w:val="009F14C5"/>
    <w:rsid w:val="009F2132"/>
    <w:rsid w:val="009F261B"/>
    <w:rsid w:val="009F4F26"/>
    <w:rsid w:val="00A0535A"/>
    <w:rsid w:val="00A126C3"/>
    <w:rsid w:val="00A15CDC"/>
    <w:rsid w:val="00A166F3"/>
    <w:rsid w:val="00A177AF"/>
    <w:rsid w:val="00A22E97"/>
    <w:rsid w:val="00A4172E"/>
    <w:rsid w:val="00A41D18"/>
    <w:rsid w:val="00A45603"/>
    <w:rsid w:val="00A52884"/>
    <w:rsid w:val="00A60AE9"/>
    <w:rsid w:val="00A70210"/>
    <w:rsid w:val="00A715BE"/>
    <w:rsid w:val="00A74152"/>
    <w:rsid w:val="00A74601"/>
    <w:rsid w:val="00A75793"/>
    <w:rsid w:val="00A84E90"/>
    <w:rsid w:val="00A946EA"/>
    <w:rsid w:val="00A95EFE"/>
    <w:rsid w:val="00AA468D"/>
    <w:rsid w:val="00AB58CC"/>
    <w:rsid w:val="00AC6A6A"/>
    <w:rsid w:val="00AC7BAB"/>
    <w:rsid w:val="00AD553A"/>
    <w:rsid w:val="00AE11C7"/>
    <w:rsid w:val="00AE20B2"/>
    <w:rsid w:val="00AE6181"/>
    <w:rsid w:val="00AE74BD"/>
    <w:rsid w:val="00AF38EB"/>
    <w:rsid w:val="00AF7C62"/>
    <w:rsid w:val="00B02560"/>
    <w:rsid w:val="00B14157"/>
    <w:rsid w:val="00B24A21"/>
    <w:rsid w:val="00B25D61"/>
    <w:rsid w:val="00B329A4"/>
    <w:rsid w:val="00B40A17"/>
    <w:rsid w:val="00B4758E"/>
    <w:rsid w:val="00B51C29"/>
    <w:rsid w:val="00B55F27"/>
    <w:rsid w:val="00B62233"/>
    <w:rsid w:val="00B6576B"/>
    <w:rsid w:val="00B81651"/>
    <w:rsid w:val="00B82511"/>
    <w:rsid w:val="00B85499"/>
    <w:rsid w:val="00B961C8"/>
    <w:rsid w:val="00BA400F"/>
    <w:rsid w:val="00BA4B24"/>
    <w:rsid w:val="00BD0E19"/>
    <w:rsid w:val="00BD40A8"/>
    <w:rsid w:val="00BE23B1"/>
    <w:rsid w:val="00BE7F36"/>
    <w:rsid w:val="00BF3F76"/>
    <w:rsid w:val="00C01302"/>
    <w:rsid w:val="00C10C21"/>
    <w:rsid w:val="00C13E31"/>
    <w:rsid w:val="00C31195"/>
    <w:rsid w:val="00C31AA5"/>
    <w:rsid w:val="00C35BD8"/>
    <w:rsid w:val="00C41703"/>
    <w:rsid w:val="00C45F32"/>
    <w:rsid w:val="00C50AC4"/>
    <w:rsid w:val="00C52FD1"/>
    <w:rsid w:val="00C57549"/>
    <w:rsid w:val="00C67D41"/>
    <w:rsid w:val="00C825C3"/>
    <w:rsid w:val="00C85D7E"/>
    <w:rsid w:val="00C87634"/>
    <w:rsid w:val="00C968A7"/>
    <w:rsid w:val="00C96F76"/>
    <w:rsid w:val="00CB0250"/>
    <w:rsid w:val="00CC0A28"/>
    <w:rsid w:val="00CD19C5"/>
    <w:rsid w:val="00CD29F1"/>
    <w:rsid w:val="00CF0428"/>
    <w:rsid w:val="00CF2428"/>
    <w:rsid w:val="00CF6D0B"/>
    <w:rsid w:val="00D0391C"/>
    <w:rsid w:val="00D03E60"/>
    <w:rsid w:val="00D102EE"/>
    <w:rsid w:val="00D14938"/>
    <w:rsid w:val="00D17273"/>
    <w:rsid w:val="00D26A64"/>
    <w:rsid w:val="00D273B6"/>
    <w:rsid w:val="00D3469A"/>
    <w:rsid w:val="00D425D8"/>
    <w:rsid w:val="00D50559"/>
    <w:rsid w:val="00D5107A"/>
    <w:rsid w:val="00D5189C"/>
    <w:rsid w:val="00D61382"/>
    <w:rsid w:val="00D66E18"/>
    <w:rsid w:val="00D741CC"/>
    <w:rsid w:val="00D82E4F"/>
    <w:rsid w:val="00D878C4"/>
    <w:rsid w:val="00DA26A0"/>
    <w:rsid w:val="00DA3E87"/>
    <w:rsid w:val="00DA5C82"/>
    <w:rsid w:val="00DB1C60"/>
    <w:rsid w:val="00DB5135"/>
    <w:rsid w:val="00DC5313"/>
    <w:rsid w:val="00DC5B24"/>
    <w:rsid w:val="00DD01CD"/>
    <w:rsid w:val="00DD0374"/>
    <w:rsid w:val="00DD2B39"/>
    <w:rsid w:val="00E00499"/>
    <w:rsid w:val="00E00D1F"/>
    <w:rsid w:val="00E02471"/>
    <w:rsid w:val="00E03178"/>
    <w:rsid w:val="00E0708D"/>
    <w:rsid w:val="00E1791C"/>
    <w:rsid w:val="00E22DD5"/>
    <w:rsid w:val="00E4148A"/>
    <w:rsid w:val="00E43EB6"/>
    <w:rsid w:val="00E50BFC"/>
    <w:rsid w:val="00E52F08"/>
    <w:rsid w:val="00E63E81"/>
    <w:rsid w:val="00E64DE4"/>
    <w:rsid w:val="00E75FCD"/>
    <w:rsid w:val="00E82C12"/>
    <w:rsid w:val="00E90C83"/>
    <w:rsid w:val="00E934E6"/>
    <w:rsid w:val="00E9737B"/>
    <w:rsid w:val="00EA78AD"/>
    <w:rsid w:val="00EC6E31"/>
    <w:rsid w:val="00EC75DF"/>
    <w:rsid w:val="00ED19E5"/>
    <w:rsid w:val="00EF348F"/>
    <w:rsid w:val="00EF64F2"/>
    <w:rsid w:val="00EF6FE5"/>
    <w:rsid w:val="00EF70AE"/>
    <w:rsid w:val="00F038DF"/>
    <w:rsid w:val="00F105FD"/>
    <w:rsid w:val="00F107BB"/>
    <w:rsid w:val="00F309A1"/>
    <w:rsid w:val="00F31D75"/>
    <w:rsid w:val="00F31DDE"/>
    <w:rsid w:val="00F32478"/>
    <w:rsid w:val="00F336A8"/>
    <w:rsid w:val="00F34FC6"/>
    <w:rsid w:val="00F36578"/>
    <w:rsid w:val="00F405F5"/>
    <w:rsid w:val="00F449A6"/>
    <w:rsid w:val="00F50C1B"/>
    <w:rsid w:val="00F510E7"/>
    <w:rsid w:val="00F57FB4"/>
    <w:rsid w:val="00F60CB7"/>
    <w:rsid w:val="00F6175C"/>
    <w:rsid w:val="00F61C5A"/>
    <w:rsid w:val="00F643DF"/>
    <w:rsid w:val="00F67C54"/>
    <w:rsid w:val="00F729F3"/>
    <w:rsid w:val="00F76A45"/>
    <w:rsid w:val="00F81F93"/>
    <w:rsid w:val="00F900C9"/>
    <w:rsid w:val="00F9322C"/>
    <w:rsid w:val="00FA003F"/>
    <w:rsid w:val="00FA14A9"/>
    <w:rsid w:val="00FA1AD2"/>
    <w:rsid w:val="00FA4D5B"/>
    <w:rsid w:val="00FA7F1F"/>
    <w:rsid w:val="00FB2903"/>
    <w:rsid w:val="00FB345A"/>
    <w:rsid w:val="00FB3892"/>
    <w:rsid w:val="00FB7EAA"/>
    <w:rsid w:val="00FC3193"/>
    <w:rsid w:val="00FD6FF5"/>
    <w:rsid w:val="00FE1542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D46118"/>
  <w15:docId w15:val="{54621FC4-6275-4ECE-92CB-F0C4E26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9A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translate">
    <w:name w:val="notranslate"/>
    <w:basedOn w:val="DefaultParagraphFont"/>
    <w:rsid w:val="00DB5135"/>
  </w:style>
  <w:style w:type="table" w:styleId="PlainTable1">
    <w:name w:val="Plain Table 1"/>
    <w:basedOn w:val="TableNormal"/>
    <w:uiPriority w:val="99"/>
    <w:rsid w:val="00F900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A3B0E-8B0A-2F4B-8C01-7DCDC877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Burbuqe</cp:lastModifiedBy>
  <cp:revision>2</cp:revision>
  <dcterms:created xsi:type="dcterms:W3CDTF">2020-10-01T08:19:00Z</dcterms:created>
  <dcterms:modified xsi:type="dcterms:W3CDTF">2020-10-01T08:19:00Z</dcterms:modified>
</cp:coreProperties>
</file>